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6, 2024</w:t>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BOISE CASCADE COMPANY</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998" w:right="339" w:bottom="1440" w:gutter="0" w:footer="0" w:header="0"/>
        </w:sectPr>
      </w:pPr>
    </w:p>
    <w:p>
      <w:pPr>
        <w:spacing w:after="0" w:line="207"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1-35805</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20-1496201</w:t>
      </w:r>
    </w:p>
    <w:p>
      <w:pPr>
        <w:spacing w:after="0" w:line="74" w:lineRule="exact"/>
        <w:rPr>
          <w:sz w:val="24"/>
          <w:szCs w:val="24"/>
          <w:color w:val="auto"/>
        </w:rPr>
      </w:pPr>
    </w:p>
    <w:p>
      <w:pPr>
        <w:sectPr>
          <w:pgSz w:w="11900" w:h="16838" w:orient="portrait"/>
          <w:cols w:equalWidth="0" w:num="3">
            <w:col w:w="4560" w:space="720"/>
            <w:col w:w="2820" w:space="720"/>
            <w:col w:w="2420"/>
          </w:cols>
          <w:pgMar w:left="320" w:top="998" w:right="339" w:bottom="1440" w:gutter="0" w:footer="0" w:header="0"/>
          <w:type w:val="continuous"/>
        </w:sectPr>
      </w:pPr>
    </w:p>
    <w:p>
      <w:pPr>
        <w:ind w:left="240"/>
        <w:spacing w:after="0"/>
        <w:rPr>
          <w:sz w:val="20"/>
          <w:szCs w:val="20"/>
          <w:color w:val="auto"/>
        </w:rPr>
      </w:pPr>
      <w:r>
        <w:rPr>
          <w:rFonts w:ascii="Arial" w:cs="Arial" w:eastAsia="Arial" w:hAnsi="Arial"/>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820" w:space="720"/>
            <w:col w:w="2740" w:space="720"/>
            <w:col w:w="3240"/>
          </w:cols>
          <w:pgMar w:left="320" w:top="998" w:right="339" w:bottom="1440" w:gutter="0" w:footer="0" w:header="0"/>
          <w:type w:val="continuous"/>
        </w:sectPr>
      </w:pP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1111 West Jefferson Street, Suite 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83702-5389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384-6161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53"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2" w:lineRule="exact"/>
        <w:rPr>
          <w:sz w:val="24"/>
          <w:szCs w:val="24"/>
          <w:color w:val="auto"/>
        </w:rPr>
      </w:pPr>
    </w:p>
    <w:p>
      <w:pPr>
        <w:ind w:left="1280" w:hanging="707"/>
        <w:spacing w:after="0"/>
        <w:tabs>
          <w:tab w:leader="none" w:pos="1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rFonts w:ascii="MS PGothic" w:cs="MS PGothic" w:eastAsia="MS PGothic" w:hAnsi="MS PGothic"/>
          <w:sz w:val="18"/>
          <w:szCs w:val="18"/>
          <w:color w:val="auto"/>
        </w:rPr>
      </w:pPr>
    </w:p>
    <w:p>
      <w:pPr>
        <w:ind w:left="1280" w:hanging="707"/>
        <w:spacing w:after="0"/>
        <w:tabs>
          <w:tab w:leader="none" w:pos="1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rFonts w:ascii="MS PGothic" w:cs="MS PGothic" w:eastAsia="MS PGothic" w:hAnsi="MS PGothic"/>
          <w:sz w:val="18"/>
          <w:szCs w:val="18"/>
          <w:color w:val="auto"/>
        </w:rPr>
      </w:pPr>
    </w:p>
    <w:p>
      <w:pPr>
        <w:ind w:left="1280" w:hanging="707"/>
        <w:spacing w:after="0"/>
        <w:tabs>
          <w:tab w:leader="none" w:pos="1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06" w:lineRule="exact"/>
        <w:rPr>
          <w:rFonts w:ascii="MS PGothic" w:cs="MS PGothic" w:eastAsia="MS PGothic" w:hAnsi="MS PGothic"/>
          <w:sz w:val="18"/>
          <w:szCs w:val="18"/>
          <w:color w:val="auto"/>
        </w:rPr>
      </w:pPr>
    </w:p>
    <w:p>
      <w:pPr>
        <w:ind w:left="1280" w:hanging="707"/>
        <w:spacing w:after="0"/>
        <w:tabs>
          <w:tab w:leader="none" w:pos="1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55" w:lineRule="exact"/>
        <w:rPr>
          <w:sz w:val="24"/>
          <w:szCs w:val="24"/>
          <w:color w:val="auto"/>
        </w:rPr>
      </w:pPr>
    </w:p>
    <w:p>
      <w:pPr>
        <w:spacing w:after="0" w:line="28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280" w:type="dxa"/>
            <w:vAlign w:val="bottom"/>
          </w:tcPr>
          <w:p>
            <w:pPr>
              <w:spacing w:after="0"/>
              <w:rPr>
                <w:sz w:val="18"/>
                <w:szCs w:val="18"/>
                <w:color w:val="auto"/>
              </w:rPr>
            </w:pPr>
          </w:p>
        </w:tc>
        <w:tc>
          <w:tcPr>
            <w:tcW w:w="27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8"/>
              </w:rPr>
              <w:t>Trading Symbol(s)</w:t>
            </w:r>
          </w:p>
        </w:tc>
        <w:tc>
          <w:tcPr>
            <w:tcW w:w="43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0"/>
        </w:trPr>
        <w:tc>
          <w:tcPr>
            <w:tcW w:w="13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4"/>
        </w:trPr>
        <w:tc>
          <w:tcPr>
            <w:tcW w:w="4200" w:type="dxa"/>
            <w:vAlign w:val="bottom"/>
            <w:gridSpan w:val="3"/>
          </w:tcPr>
          <w:p>
            <w:pPr>
              <w:jc w:val="center"/>
              <w:ind w:left="10"/>
              <w:spacing w:after="0"/>
              <w:rPr>
                <w:sz w:val="20"/>
                <w:szCs w:val="20"/>
                <w:color w:val="auto"/>
              </w:rPr>
            </w:pPr>
            <w:r>
              <w:rPr>
                <w:rFonts w:ascii="Arial" w:cs="Arial" w:eastAsia="Arial" w:hAnsi="Arial"/>
                <w:sz w:val="18"/>
                <w:szCs w:val="18"/>
                <w:color w:val="auto"/>
                <w:w w:val="99"/>
              </w:rPr>
              <w:t>Common Stock, $0.01 par value per share</w:t>
            </w:r>
          </w:p>
        </w:tc>
        <w:tc>
          <w:tcPr>
            <w:tcW w:w="360" w:type="dxa"/>
            <w:vAlign w:val="bottom"/>
          </w:tcPr>
          <w:p>
            <w:pPr>
              <w:spacing w:after="0"/>
              <w:rPr>
                <w:sz w:val="22"/>
                <w:szCs w:val="22"/>
                <w:color w:val="auto"/>
              </w:rPr>
            </w:pPr>
          </w:p>
        </w:tc>
        <w:tc>
          <w:tcPr>
            <w:tcW w:w="2360" w:type="dxa"/>
            <w:vAlign w:val="bottom"/>
            <w:gridSpan w:val="2"/>
          </w:tcPr>
          <w:p>
            <w:pPr>
              <w:jc w:val="center"/>
              <w:ind w:right="780"/>
              <w:spacing w:after="0"/>
              <w:rPr>
                <w:sz w:val="20"/>
                <w:szCs w:val="20"/>
                <w:color w:val="auto"/>
              </w:rPr>
            </w:pPr>
            <w:r>
              <w:rPr>
                <w:rFonts w:ascii="Arial" w:cs="Arial" w:eastAsia="Arial" w:hAnsi="Arial"/>
                <w:sz w:val="18"/>
                <w:szCs w:val="18"/>
                <w:color w:val="auto"/>
                <w:w w:val="99"/>
              </w:rPr>
              <w:t>BCC</w:t>
            </w:r>
          </w:p>
        </w:tc>
        <w:tc>
          <w:tcPr>
            <w:tcW w:w="432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New York Stock Exchange</w:t>
            </w:r>
          </w:p>
        </w:tc>
      </w:tr>
      <w:tr>
        <w:trPr>
          <w:trHeight w:val="1785"/>
        </w:trPr>
        <w:tc>
          <w:tcPr>
            <w:tcW w:w="1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52" w:lineRule="exact"/>
        <w:rPr>
          <w:sz w:val="20"/>
          <w:szCs w:val="20"/>
          <w:color w:val="auto"/>
        </w:rPr>
      </w:pPr>
    </w:p>
    <w:p>
      <w:pPr>
        <w:jc w:val="both"/>
        <w:ind w:right="340" w:firstLine="648"/>
        <w:spacing w:after="0" w:line="268" w:lineRule="auto"/>
        <w:rPr>
          <w:sz w:val="20"/>
          <w:szCs w:val="20"/>
          <w:color w:val="auto"/>
        </w:rPr>
      </w:pPr>
      <w:r>
        <w:rPr>
          <w:rFonts w:ascii="Arial" w:cs="Arial" w:eastAsia="Arial" w:hAnsi="Arial"/>
          <w:sz w:val="18"/>
          <w:szCs w:val="18"/>
          <w:color w:val="auto"/>
        </w:rPr>
        <w:t>On February 6, 2024, Boise Cascade Company (the Company) issued a press release announcing that its board of directors had declared a quarterly dividend of $0.20 per share to holders of its common stock, payable on March 15, 2024 to stockholders of record on February 23, 2024. The press release is furnished hereto as Exhibit 99.1 and incorporated by reference into this Item 7.01.</w:t>
      </w:r>
    </w:p>
    <w:p>
      <w:pPr>
        <w:spacing w:after="0" w:line="198"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The information in this Item 7.01 of Form 8-K, shall not be deemed “filed” for purposes of Section 18 of the Securities Exchange Act of 1934, as amended, and is not incorporated by reference into any filing of the Company, whether made before or after the date hereof, regardless of any general incorporation language in such filing.</w:t>
      </w:r>
    </w:p>
    <w:p>
      <w:pPr>
        <w:spacing w:after="0" w:line="19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furnished as part of this Current Report on Form 8-K:</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w w:val="98"/>
              </w:rPr>
              <w:t>Exhibit No.</w:t>
            </w:r>
          </w:p>
        </w:tc>
        <w:tc>
          <w:tcPr>
            <w:tcW w:w="260" w:type="dxa"/>
            <w:vAlign w:val="bottom"/>
          </w:tcPr>
          <w:p>
            <w:pPr>
              <w:spacing w:after="0"/>
              <w:rPr>
                <w:sz w:val="17"/>
                <w:szCs w:val="17"/>
                <w:color w:val="auto"/>
              </w:rPr>
            </w:pPr>
          </w:p>
        </w:tc>
        <w:tc>
          <w:tcPr>
            <w:tcW w:w="10080" w:type="dxa"/>
            <w:vAlign w:val="bottom"/>
            <w:gridSpan w:val="4"/>
          </w:tcPr>
          <w:p>
            <w:pPr>
              <w:ind w:left="260"/>
              <w:spacing w:after="0"/>
              <w:rPr>
                <w:sz w:val="20"/>
                <w:szCs w:val="20"/>
                <w:color w:val="auto"/>
              </w:rPr>
            </w:pPr>
            <w:r>
              <w:rPr>
                <w:rFonts w:ascii="Arial" w:cs="Arial" w:eastAsia="Arial" w:hAnsi="Arial"/>
                <w:sz w:val="18"/>
                <w:szCs w:val="18"/>
                <w:color w:val="auto"/>
              </w:rPr>
              <w:t>Description of Exhibit</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260" w:type="dxa"/>
            <w:vAlign w:val="bottom"/>
          </w:tcPr>
          <w:p>
            <w:pPr>
              <w:spacing w:after="0"/>
              <w:rPr>
                <w:sz w:val="24"/>
                <w:szCs w:val="24"/>
                <w:color w:val="auto"/>
              </w:rPr>
            </w:pPr>
          </w:p>
        </w:tc>
        <w:tc>
          <w:tcPr>
            <w:tcW w:w="10080" w:type="dxa"/>
            <w:vAlign w:val="bottom"/>
            <w:gridSpan w:val="4"/>
          </w:tcPr>
          <w:p>
            <w:pPr>
              <w:ind w:left="260"/>
              <w:spacing w:after="0"/>
              <w:rPr>
                <w:sz w:val="20"/>
                <w:szCs w:val="20"/>
                <w:color w:val="auto"/>
              </w:rPr>
            </w:pPr>
            <w:r>
              <w:rPr>
                <w:rFonts w:ascii="Arial" w:cs="Arial" w:eastAsia="Arial" w:hAnsi="Arial"/>
                <w:sz w:val="18"/>
                <w:szCs w:val="18"/>
                <w:color w:val="0000FF"/>
              </w:rPr>
              <w:t>Boise Cascade Company Press Release, dated February 6, 2024.</w:t>
            </w:r>
          </w:p>
        </w:tc>
      </w:tr>
      <w:tr>
        <w:trPr>
          <w:trHeight w:val="20"/>
        </w:trPr>
        <w:tc>
          <w:tcPr>
            <w:tcW w:w="3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60" w:type="dxa"/>
            <w:vAlign w:val="bottom"/>
            <w:gridSpan w:val="2"/>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416"/>
        </w:trPr>
        <w:tc>
          <w:tcPr>
            <w:tcW w:w="38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gridSpan w:val="4"/>
          </w:tcPr>
          <w:p>
            <w:pPr>
              <w:ind w:left="26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392"/>
        </w:trPr>
        <w:tc>
          <w:tcPr>
            <w:tcW w:w="38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gridSpan w:val="4"/>
          </w:tcPr>
          <w:p>
            <w:pPr>
              <w:ind w:left="260"/>
              <w:spacing w:after="0"/>
              <w:rPr>
                <w:sz w:val="20"/>
                <w:szCs w:val="20"/>
                <w:color w:val="auto"/>
              </w:rPr>
            </w:pPr>
            <w:r>
              <w:rPr>
                <w:rFonts w:ascii="Arial" w:cs="Arial" w:eastAsia="Arial" w:hAnsi="Arial"/>
                <w:sz w:val="18"/>
                <w:szCs w:val="18"/>
                <w:color w:val="auto"/>
              </w:rPr>
              <w:t>The cover page from this Current Report on Form 8-K, formatted as Inline XBRL.</w:t>
            </w:r>
          </w:p>
        </w:tc>
      </w:tr>
      <w:tr>
        <w:trPr>
          <w:trHeight w:val="1204"/>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90" w:lineRule="exact"/>
        <w:rPr>
          <w:sz w:val="20"/>
          <w:szCs w:val="20"/>
          <w:color w:val="auto"/>
        </w:rPr>
      </w:pPr>
    </w:p>
    <w:p>
      <w:pPr>
        <w:ind w:firstLine="20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BOISE CASCADE COMPANY</w:t>
      </w:r>
    </w:p>
    <w:p>
      <w:pPr>
        <w:spacing w:after="0" w:line="374" w:lineRule="exact"/>
        <w:rPr>
          <w:sz w:val="20"/>
          <w:szCs w:val="20"/>
          <w:color w:val="auto"/>
        </w:rPr>
      </w:pPr>
    </w:p>
    <w:p>
      <w:pPr>
        <w:ind w:left="514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Jill Twedt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34925</wp:posOffset>
            </wp:positionV>
            <wp:extent cx="3549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Jill Twedt</w:t>
      </w:r>
    </w:p>
    <w:p>
      <w:pPr>
        <w:spacing w:after="0" w:line="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Senior Vice President, General Counsel and Secretary</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 February 6, 2024</w:t>
      </w:r>
    </w:p>
    <w:p>
      <w:pPr>
        <w:sectPr>
          <w:pgSz w:w="11900" w:h="16838" w:orient="portrait"/>
          <w:cols w:equalWidth="0" w:num="1">
            <w:col w:w="11080"/>
          </w:cols>
          <w:pgMar w:left="320" w:top="985"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Boise Cascade Company</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1111 West Jefferson Street, Suite 300</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Boise, ID 83702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278130</wp:posOffset>
            </wp:positionV>
            <wp:extent cx="1474470" cy="848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0"/>
        <w:spacing w:after="0"/>
        <w:rPr>
          <w:sz w:val="20"/>
          <w:szCs w:val="20"/>
          <w:color w:val="auto"/>
        </w:rPr>
      </w:pPr>
      <w:r>
        <w:rPr>
          <w:rFonts w:ascii="Arial" w:cs="Arial" w:eastAsia="Arial" w:hAnsi="Arial"/>
          <w:sz w:val="40"/>
          <w:szCs w:val="40"/>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3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Investor Relations Contact</w:t>
            </w:r>
          </w:p>
        </w:tc>
        <w:tc>
          <w:tcPr>
            <w:tcW w:w="4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Media Contact</w:t>
            </w:r>
          </w:p>
        </w:tc>
      </w:tr>
      <w:tr>
        <w:trPr>
          <w:trHeight w:val="361"/>
        </w:trPr>
        <w:tc>
          <w:tcPr>
            <w:tcW w:w="6340" w:type="dxa"/>
            <w:vAlign w:val="bottom"/>
          </w:tcPr>
          <w:p>
            <w:pPr>
              <w:ind w:left="20"/>
              <w:spacing w:after="0"/>
              <w:rPr>
                <w:sz w:val="20"/>
                <w:szCs w:val="20"/>
                <w:color w:val="auto"/>
              </w:rPr>
            </w:pPr>
            <w:r>
              <w:rPr>
                <w:rFonts w:ascii="Arial" w:cs="Arial" w:eastAsia="Arial" w:hAnsi="Arial"/>
                <w:sz w:val="18"/>
                <w:szCs w:val="18"/>
                <w:color w:val="auto"/>
              </w:rPr>
              <w:t>Kelly Hibbs</w:t>
            </w:r>
          </w:p>
        </w:tc>
        <w:tc>
          <w:tcPr>
            <w:tcW w:w="4800" w:type="dxa"/>
            <w:vAlign w:val="bottom"/>
          </w:tcPr>
          <w:p>
            <w:pPr>
              <w:jc w:val="right"/>
              <w:spacing w:after="0"/>
              <w:rPr>
                <w:sz w:val="20"/>
                <w:szCs w:val="20"/>
                <w:color w:val="auto"/>
              </w:rPr>
            </w:pPr>
            <w:r>
              <w:rPr>
                <w:rFonts w:ascii="Arial" w:cs="Arial" w:eastAsia="Arial" w:hAnsi="Arial"/>
                <w:sz w:val="18"/>
                <w:szCs w:val="18"/>
                <w:color w:val="auto"/>
              </w:rPr>
              <w:t>Lisa Tschampl</w:t>
            </w:r>
          </w:p>
        </w:tc>
      </w:tr>
      <w:tr>
        <w:trPr>
          <w:trHeight w:val="230"/>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investor@bc.com</w:t>
            </w:r>
          </w:p>
        </w:tc>
        <w:tc>
          <w:tcPr>
            <w:tcW w:w="4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mediarelations@bc.com</w:t>
            </w:r>
          </w:p>
        </w:tc>
      </w:tr>
      <w:tr>
        <w:trPr>
          <w:trHeight w:val="438"/>
        </w:trPr>
        <w:tc>
          <w:tcPr>
            <w:tcW w:w="6340" w:type="dxa"/>
            <w:vAlign w:val="bottom"/>
          </w:tcPr>
          <w:p>
            <w:pPr>
              <w:spacing w:after="0"/>
              <w:rPr>
                <w:sz w:val="20"/>
                <w:szCs w:val="20"/>
                <w:color w:val="auto"/>
              </w:rPr>
            </w:pPr>
            <w:r>
              <w:rPr>
                <w:rFonts w:ascii="Arial" w:cs="Arial" w:eastAsia="Arial" w:hAnsi="Arial"/>
                <w:sz w:val="18"/>
                <w:szCs w:val="18"/>
                <w:b w:val="1"/>
                <w:bCs w:val="1"/>
                <w:color w:val="auto"/>
              </w:rPr>
              <w:t>For Immediate Release: February 6, 2024</w:t>
            </w:r>
          </w:p>
        </w:tc>
        <w:tc>
          <w:tcPr>
            <w:tcW w:w="4800" w:type="dxa"/>
            <w:vAlign w:val="bottom"/>
          </w:tcPr>
          <w:p>
            <w:pPr>
              <w:spacing w:after="0"/>
              <w:rPr>
                <w:sz w:val="24"/>
                <w:szCs w:val="24"/>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Boise Cascade Company Announces Quarterly Dividend of $0.20 Per Share</w:t>
      </w:r>
    </w:p>
    <w:p>
      <w:pPr>
        <w:spacing w:after="0" w:line="24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BOISE, Idaho - Boise Cascade Company’s (Boise Cascade or the Company) (NYSE: BCC) Board of Directors has declared a quarterly dividend of $ 0.20 per share to holders of its common stock. The dividend will be paid on March 15, 2024 to stockholders of record on February 23, 2024.</w:t>
      </w:r>
    </w:p>
    <w:p>
      <w:pPr>
        <w:spacing w:after="0" w:line="19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Future dividend declarations, including amount per share, record date and payment date, will be made by the board of directors and will depend upon, among other things, legal capital requirements and surplus, the Company’s future operations and earnings, general financial condition, material cash requirements, restrictions imposed by our asset-based credit facility and the indenture governing our senior notes, applicable laws, and other factors as the board of directors may deem relevant.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Boise Cascade</w:t>
      </w:r>
    </w:p>
    <w:p>
      <w:pPr>
        <w:spacing w:after="0" w:line="25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 xml:space="preserve">Boise Cascade is one of the largest producers of engineered wood products and plywood in North America and a leading U.S. wholesale distributor of building products. For more information, please visit our website at </w:t>
      </w:r>
      <w:r>
        <w:rPr>
          <w:rFonts w:ascii="Arial" w:cs="Arial" w:eastAsia="Arial" w:hAnsi="Arial"/>
          <w:sz w:val="18"/>
          <w:szCs w:val="18"/>
          <w:u w:val="single" w:color="auto"/>
          <w:color w:val="0000FF"/>
        </w:rPr>
        <w:t>www.bc.com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9"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This press release includes forward-looking statements within the meaning of the Private Securities Litigation Reform Act of 1995. Such statements are based upon the current beliefs and expectations of our management and are subject to significant risks and uncertainties. The accuracy of such statements is subject to a number of risks, uncertainties, and assumptions that could cause our actual results to differ materially from those projected, including, but not limited to, prices for building products, changes in the competitive position of our products, commodity input costs, the effect of general economic conditions, mortgage rates and availability, housing demand, housing vacancy rates,</w:t>
      </w:r>
    </w:p>
    <w:p>
      <w:pPr>
        <w:ind w:right="20"/>
        <w:spacing w:after="0"/>
        <w:rPr>
          <w:sz w:val="20"/>
          <w:szCs w:val="20"/>
          <w:color w:val="auto"/>
        </w:rPr>
      </w:pPr>
      <w:r>
        <w:rPr>
          <w:rFonts w:ascii="Arial" w:cs="Arial" w:eastAsia="Arial" w:hAnsi="Arial"/>
          <w:sz w:val="17"/>
          <w:szCs w:val="17"/>
          <w:color w:val="auto"/>
        </w:rPr>
        <w:t>governmental regulations, unforeseen production disruptions, as well as natural disasters. These and other factors that could cause actual results to differ materially from such forward-looking statements are discussed in greater detail in our filings with the Securities and Exchange</w:t>
      </w:r>
    </w:p>
    <w:p>
      <w:pPr>
        <w:spacing w:after="0" w:line="1" w:lineRule="exact"/>
        <w:rPr>
          <w:sz w:val="20"/>
          <w:szCs w:val="20"/>
          <w:color w:val="auto"/>
        </w:rPr>
      </w:pPr>
    </w:p>
    <w:p>
      <w:pPr>
        <w:jc w:val="both"/>
        <w:ind w:right="100"/>
        <w:spacing w:after="0" w:line="242" w:lineRule="auto"/>
        <w:rPr>
          <w:sz w:val="20"/>
          <w:szCs w:val="20"/>
          <w:color w:val="auto"/>
        </w:rPr>
      </w:pPr>
      <w:r>
        <w:rPr>
          <w:rFonts w:ascii="Arial" w:cs="Arial" w:eastAsia="Arial" w:hAnsi="Arial"/>
          <w:sz w:val="18"/>
          <w:szCs w:val="18"/>
          <w:color w:val="auto"/>
        </w:rPr>
        <w:t>Commission. Forward-looking statements speak only as of the date of this press release. We undertake no obligation to revise them in light of new information. Finally, we undertake no obligation to review or confirm analyst expectations or estimates that might be derived from this release.</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2024-02-06T16:04:40Z</dcterms:created>
  <dcterms:modified xsi:type="dcterms:W3CDTF">2024-02-06T16:04:40Z</dcterms:modified>
</cp:coreProperties>
</file>