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color w:val="000000"/>
        </w:rPr>
      </w:pPr>
      <w:r>
        <w:rPr>
          <w:color w:val="000000"/>
        </w:rPr>
        <w:t>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Commission File Number:  001-35805</w:t>
      </w: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Boise Cascade Company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20-1496201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1111 West Jefferson Street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Boise, Idaho 83702-5389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(208) 384-6161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BCC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Accelerated filer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Non-accelerated filer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Smaller reporting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w:t>
      </w:r>
    </w:p>
    <w:p>
      <w:pPr>
        <w:pStyle w:val="TextBody"/>
        <w:bidi w:val="0"/>
        <w:spacing w:lineRule="auto" w:line="288" w:before="0" w:after="0"/>
        <w:jc w:val="left"/>
        <w:rPr/>
      </w:pPr>
      <w:r>
        <w:rPr>
          <w:rFonts w:ascii="Times New Roman;sans-serif" w:hAnsi="Times New Roman;sans-serif"/>
          <w:b w:val="false"/>
          <w:color w:val="000000"/>
          <w:sz w:val="20"/>
        </w:rPr>
        <w:t xml:space="preserve">Act.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38,404,552 shares of the registrant's common stock, $0.01 par value per share, outstanding on November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4"/>
        <w:gridCol w:w="293"/>
        <w:gridCol w:w="227"/>
        <w:gridCol w:w="225"/>
        <w:gridCol w:w="225"/>
        <w:gridCol w:w="225"/>
        <w:gridCol w:w="2409"/>
        <w:gridCol w:w="2403"/>
        <w:gridCol w:w="2411"/>
        <w:gridCol w:w="225"/>
        <w:gridCol w:w="225"/>
        <w:gridCol w:w="225"/>
        <w:gridCol w:w="225"/>
        <w:gridCol w:w="225"/>
        <w:gridCol w:w="328"/>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c2eef25703d7400ba39006a53e828d61_10">
              <w:r>
                <w:rPr>
                  <w:rStyle w:val="InternetLink"/>
                  <w:rFonts w:ascii="Times New Roman;sans-serif" w:hAnsi="Times New Roman;sans-serif"/>
                  <w:b/>
                  <w:color w:val="0000FF"/>
                  <w:sz w:val="20"/>
                  <w:u w:val="single"/>
                </w:rPr>
                <w:t>PART I—FINANCIAL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
              <w:r>
                <w:rPr>
                  <w:rStyle w:val="InternetLink"/>
                  <w:rFonts w:ascii="Times New Roman;sans-serif" w:hAnsi="Times New Roman;sans-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
              <w:r>
                <w:rPr>
                  <w:rStyle w:val="InternetLink"/>
                  <w:rFonts w:ascii="Times New Roman;sans-serif" w:hAnsi="Times New Roman;sans-serif"/>
                  <w:b w:val="false"/>
                  <w:color w:val="0000FF"/>
                  <w:sz w:val="20"/>
                  <w:u w:val="single"/>
                </w:rPr>
                <w:t>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3">
              <w:r>
                <w:rPr>
                  <w:rStyle w:val="InternetLink"/>
                  <w:rFonts w:ascii="Times New Roman;sans-serif" w:hAnsi="Times New Roman;sans-serif"/>
                  <w:b w:val="false"/>
                  <w:color w:val="0000FF"/>
                  <w:sz w:val="20"/>
                  <w:u w:val="single"/>
                </w:rPr>
                <w:t>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31">
              <w:r>
                <w:rPr>
                  <w:rStyle w:val="InternetLink"/>
                  <w:rFonts w:ascii="Times New Roman;sans-serif" w:hAnsi="Times New Roman;sans-serif"/>
                  <w:b w:val="false"/>
                  <w:color w:val="0000FF"/>
                  <w:sz w:val="20"/>
                  <w:u w:val="single"/>
                </w:rPr>
                <w:t>Condensed Notes to Unaudited Quarterly Consolidated 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31">
              <w:r>
                <w:rPr>
                  <w:rStyle w:val="InternetLink"/>
                  <w:rFonts w:ascii="Times New Roman;sans-serif" w:hAnsi="Times New Roman;sans-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34">
              <w:r>
                <w:rPr>
                  <w:rStyle w:val="InternetLink"/>
                  <w:rFonts w:ascii="Times New Roman;sans-serif" w:hAnsi="Times New Roman;sans-serif"/>
                  <w:b w:val="false"/>
                  <w:color w:val="0000FF"/>
                  <w:sz w:val="20"/>
                  <w:u w:val="single"/>
                </w:rPr>
                <w:t>1. Nature of Operations and Consolidation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34">
              <w:r>
                <w:rPr>
                  <w:rStyle w:val="InternetLink"/>
                  <w:rFonts w:ascii="Times New Roman;sans-serif" w:hAnsi="Times New Roman;sans-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37">
              <w:r>
                <w:rPr>
                  <w:rStyle w:val="InternetLink"/>
                  <w:rFonts w:ascii="Times New Roman;sans-serif" w:hAnsi="Times New Roman;sans-serif"/>
                  <w:b w:val="false"/>
                  <w:color w:val="0000FF"/>
                  <w:sz w:val="20"/>
                  <w:u w:val="single"/>
                </w:rPr>
                <w:t>2. Summary of Significant Accounting Policies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37">
              <w:r>
                <w:rPr>
                  <w:rStyle w:val="InternetLink"/>
                  <w:rFonts w:ascii="Times New Roman;sans-serif" w:hAnsi="Times New Roman;sans-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40">
              <w:r>
                <w:rPr>
                  <w:rStyle w:val="InternetLink"/>
                  <w:rFonts w:ascii="Times New Roman;sans-serif" w:hAnsi="Times New Roman;sans-serif"/>
                  <w:b w:val="false"/>
                  <w:color w:val="0000FF"/>
                  <w:sz w:val="20"/>
                  <w:u w:val="single"/>
                </w:rPr>
                <w:t>3. Income Taxes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40">
              <w:r>
                <w:rPr>
                  <w:rStyle w:val="InternetLink"/>
                  <w:rFonts w:ascii="Times New Roman;sans-serif" w:hAnsi="Times New Roman;sans-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43">
              <w:r>
                <w:rPr>
                  <w:rStyle w:val="InternetLink"/>
                  <w:rFonts w:ascii="Times New Roman;sans-serif" w:hAnsi="Times New Roman;sans-serif"/>
                  <w:b w:val="false"/>
                  <w:color w:val="0000FF"/>
                  <w:sz w:val="20"/>
                  <w:u w:val="single"/>
                </w:rPr>
                <w:t>4. Net Income Per Common Share</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43">
              <w:r>
                <w:rPr>
                  <w:rStyle w:val="InternetLink"/>
                  <w:rFonts w:ascii="Times New Roman;sans-serif" w:hAnsi="Times New Roman;sans-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49">
              <w:r>
                <w:rPr>
                  <w:rStyle w:val="InternetLink"/>
                  <w:rFonts w:ascii="Times New Roman;sans-serif" w:hAnsi="Times New Roman;sans-serif"/>
                  <w:b w:val="false"/>
                  <w:color w:val="0000FF"/>
                  <w:sz w:val="20"/>
                  <w:u w:val="single"/>
                </w:rPr>
                <w:t>5. Acquisitions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49">
              <w:r>
                <w:rPr>
                  <w:rStyle w:val="InternetLink"/>
                  <w:rFonts w:ascii="Times New Roman;sans-serif" w:hAnsi="Times New Roman;sans-serif"/>
                  <w:b w:val="false"/>
                  <w:color w:val="0000FF"/>
                  <w:sz w:val="20"/>
                  <w:u w:val="single"/>
                </w:rPr>
                <w:t>13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52">
              <w:r>
                <w:rPr>
                  <w:rStyle w:val="InternetLink"/>
                  <w:rFonts w:ascii="Times New Roman;sans-serif" w:hAnsi="Times New Roman;sans-serif"/>
                  <w:b w:val="false"/>
                  <w:color w:val="0000FF"/>
                  <w:sz w:val="20"/>
                  <w:u w:val="single"/>
                </w:rPr>
                <w:t>6. Goodwill and Intangible Assets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52">
              <w:r>
                <w:rPr>
                  <w:rStyle w:val="InternetLink"/>
                  <w:rFonts w:ascii="Times New Roman;sans-serif" w:hAnsi="Times New Roman;sans-serif"/>
                  <w:b w:val="false"/>
                  <w:color w:val="0000FF"/>
                  <w:sz w:val="20"/>
                  <w:u w:val="single"/>
                </w:rPr>
                <w:t>14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55">
              <w:r>
                <w:rPr>
                  <w:rStyle w:val="InternetLink"/>
                  <w:rFonts w:ascii="Times New Roman;sans-serif" w:hAnsi="Times New Roman;sans-serif"/>
                  <w:b w:val="false"/>
                  <w:color w:val="0000FF"/>
                  <w:sz w:val="20"/>
                  <w:u w:val="single"/>
                </w:rPr>
                <w:t>7. Debt</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55">
              <w:r>
                <w:rPr>
                  <w:rStyle w:val="InternetLink"/>
                  <w:rFonts w:ascii="Times New Roman;sans-serif" w:hAnsi="Times New Roman;sans-serif"/>
                  <w:b w:val="false"/>
                  <w:color w:val="0000FF"/>
                  <w:sz w:val="20"/>
                  <w:u w:val="single"/>
                </w:rPr>
                <w:t>15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58">
              <w:r>
                <w:rPr>
                  <w:rStyle w:val="InternetLink"/>
                  <w:rFonts w:ascii="Times New Roman;sans-serif" w:hAnsi="Times New Roman;sans-serif"/>
                  <w:b w:val="false"/>
                  <w:color w:val="0000FF"/>
                  <w:sz w:val="20"/>
                  <w:u w:val="single"/>
                </w:rPr>
                <w:t>8. Leases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58">
              <w:r>
                <w:rPr>
                  <w:rStyle w:val="InternetLink"/>
                  <w:rFonts w:ascii="Times New Roman;sans-serif" w:hAnsi="Times New Roman;sans-serif"/>
                  <w:b w:val="false"/>
                  <w:color w:val="0000FF"/>
                  <w:sz w:val="20"/>
                  <w:u w:val="single"/>
                </w:rPr>
                <w:t>18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61">
              <w:r>
                <w:rPr>
                  <w:rStyle w:val="InternetLink"/>
                  <w:rFonts w:ascii="Times New Roman;sans-serif" w:hAnsi="Times New Roman;sans-serif"/>
                  <w:b w:val="false"/>
                  <w:color w:val="0000FF"/>
                  <w:sz w:val="20"/>
                  <w:u w:val="single"/>
                </w:rPr>
                <w:t>9. Stock-Based Compensation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61">
              <w:r>
                <w:rPr>
                  <w:rStyle w:val="InternetLink"/>
                  <w:rFonts w:ascii="Times New Roman;sans-serif" w:hAnsi="Times New Roman;sans-serif"/>
                  <w:b w:val="false"/>
                  <w:color w:val="0000FF"/>
                  <w:sz w:val="20"/>
                  <w:u w:val="single"/>
                </w:rPr>
                <w:t>19</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64">
              <w:r>
                <w:rPr>
                  <w:rStyle w:val="InternetLink"/>
                  <w:rFonts w:ascii="Times New Roman;sans-serif" w:hAnsi="Times New Roman;sans-serif"/>
                  <w:b w:val="false"/>
                  <w:color w:val="0000FF"/>
                  <w:sz w:val="20"/>
                  <w:u w:val="single"/>
                </w:rPr>
                <w:t>10. Stockholders' Equity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64">
              <w:r>
                <w:rPr>
                  <w:rStyle w:val="InternetLink"/>
                  <w:rFonts w:ascii="Times New Roman;sans-serif" w:hAnsi="Times New Roman;sans-serif"/>
                  <w:b w:val="false"/>
                  <w:color w:val="0000FF"/>
                  <w:sz w:val="20"/>
                  <w:u w:val="single"/>
                </w:rPr>
                <w:t>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67">
              <w:r>
                <w:rPr>
                  <w:rStyle w:val="InternetLink"/>
                  <w:rFonts w:ascii="Times New Roman;sans-serif" w:hAnsi="Times New Roman;sans-serif"/>
                  <w:b w:val="false"/>
                  <w:color w:val="0000FF"/>
                  <w:sz w:val="20"/>
                  <w:u w:val="single"/>
                </w:rPr>
                <w:t>11. Transactions With Related Party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67">
              <w:r>
                <w:rPr>
                  <w:rStyle w:val="InternetLink"/>
                  <w:rFonts w:ascii="Times New Roman;sans-serif" w:hAnsi="Times New Roman;sans-serif"/>
                  <w:b w:val="false"/>
                  <w:color w:val="0000FF"/>
                  <w:sz w:val="20"/>
                  <w:u w:val="single"/>
                </w:rPr>
                <w:t>21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70">
              <w:r>
                <w:rPr>
                  <w:rStyle w:val="InternetLink"/>
                  <w:rFonts w:ascii="Times New Roman;sans-serif" w:hAnsi="Times New Roman;sans-serif"/>
                  <w:b w:val="false"/>
                  <w:color w:val="0000FF"/>
                  <w:sz w:val="20"/>
                  <w:u w:val="single"/>
                </w:rPr>
                <w:t>12. Segment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70">
              <w:r>
                <w:rPr>
                  <w:rStyle w:val="InternetLink"/>
                  <w:rFonts w:ascii="Times New Roman;sans-serif" w:hAnsi="Times New Roman;sans-serif"/>
                  <w:b w:val="false"/>
                  <w:color w:val="0000FF"/>
                  <w:sz w:val="20"/>
                  <w:u w:val="single"/>
                </w:rPr>
                <w:t>22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73">
              <w:r>
                <w:rPr>
                  <w:rStyle w:val="InternetLink"/>
                  <w:rFonts w:ascii="Times New Roman;sans-serif" w:hAnsi="Times New Roman;sans-serif"/>
                  <w:b w:val="false"/>
                  <w:color w:val="0000FF"/>
                  <w:sz w:val="20"/>
                  <w:u w:val="single"/>
                </w:rPr>
                <w:t>13. Commitments, Legal Proceedings and Contingencies, and 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73">
              <w:r>
                <w:rPr>
                  <w:rStyle w:val="InternetLink"/>
                  <w:rFonts w:ascii="Times New Roman;sans-serif" w:hAnsi="Times New Roman;sans-serif"/>
                  <w:b w:val="false"/>
                  <w:color w:val="0000FF"/>
                  <w:sz w:val="20"/>
                  <w:u w:val="single"/>
                </w:rPr>
                <w:t>23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76">
              <w:r>
                <w:rPr>
                  <w:rStyle w:val="InternetLink"/>
                  <w:rFonts w:ascii="Times New Roman;sans-serif" w:hAnsi="Times New Roman;sans-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76">
              <w:r>
                <w:rPr>
                  <w:rStyle w:val="InternetLink"/>
                  <w:rFonts w:ascii="Times New Roman;sans-serif" w:hAnsi="Times New Roman;sans-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79">
              <w:r>
                <w:rPr>
                  <w:rStyle w:val="InternetLink"/>
                  <w:rFonts w:ascii="Times New Roman;sans-serif" w:hAnsi="Times New Roman;sans-serif"/>
                  <w:b w:val="false"/>
                  <w:color w:val="0000FF"/>
                  <w:sz w:val="20"/>
                  <w:u w:val="single"/>
                </w:rPr>
                <w:t>Understanding Our Financial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79">
              <w:r>
                <w:rPr>
                  <w:rStyle w:val="InternetLink"/>
                  <w:rFonts w:ascii="Times New Roman;sans-serif" w:hAnsi="Times New Roman;sans-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82">
              <w:r>
                <w:rPr>
                  <w:rStyle w:val="InternetLink"/>
                  <w:rFonts w:ascii="Times New Roman;sans-serif" w:hAnsi="Times New Roman;sans-serif"/>
                  <w:b w:val="false"/>
                  <w:color w:val="0000FF"/>
                  <w:sz w:val="20"/>
                  <w:u w:val="single"/>
                </w:rPr>
                <w:t>Executive Overview</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82">
              <w:r>
                <w:rPr>
                  <w:rStyle w:val="InternetLink"/>
                  <w:rFonts w:ascii="Times New Roman;sans-serif" w:hAnsi="Times New Roman;sans-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85">
              <w:r>
                <w:rPr>
                  <w:rStyle w:val="InternetLink"/>
                  <w:rFonts w:ascii="Times New Roman;sans-serif" w:hAnsi="Times New Roman;sans-serif"/>
                  <w:b w:val="false"/>
                  <w:color w:val="0000FF"/>
                  <w:sz w:val="20"/>
                  <w:u w:val="single"/>
                </w:rPr>
                <w:t>Factors That Affect Our Operating Results and Trends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85">
              <w:r>
                <w:rPr>
                  <w:rStyle w:val="InternetLink"/>
                  <w:rFonts w:ascii="Times New Roman;sans-serif" w:hAnsi="Times New Roman;sans-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88">
              <w:r>
                <w:rPr>
                  <w:rStyle w:val="InternetLink"/>
                  <w:rFonts w:ascii="Times New Roman;sans-serif" w:hAnsi="Times New Roman;sans-serif"/>
                  <w:b w:val="false"/>
                  <w:color w:val="0000FF"/>
                  <w:sz w:val="20"/>
                  <w:u w:val="single"/>
                </w:rPr>
                <w:t>Our Operating Results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88">
              <w:r>
                <w:rPr>
                  <w:rStyle w:val="InternetLink"/>
                  <w:rFonts w:ascii="Times New Roman;sans-serif" w:hAnsi="Times New Roman;sans-serif"/>
                  <w:b w:val="false"/>
                  <w:color w:val="0000FF"/>
                  <w:sz w:val="20"/>
                  <w:u w:val="single"/>
                </w:rPr>
                <w:t>27</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7223"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91">
              <w:r>
                <w:rPr>
                  <w:rStyle w:val="InternetLink"/>
                  <w:rFonts w:ascii="Times New Roman;sans-serif" w:hAnsi="Times New Roman;sans-serif"/>
                  <w:b w:val="false"/>
                  <w:color w:val="0000FF"/>
                  <w:sz w:val="20"/>
                  <w:u w:val="single"/>
                </w:rPr>
                <w:t>Liquidity and Capital Resources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91">
              <w:r>
                <w:rPr>
                  <w:rStyle w:val="InternetLink"/>
                  <w:rFonts w:ascii="Times New Roman;sans-serif" w:hAnsi="Times New Roman;sans-serif"/>
                  <w:b w:val="false"/>
                  <w:color w:val="0000FF"/>
                  <w:sz w:val="20"/>
                  <w:u w:val="single"/>
                </w:rPr>
                <w:t>31</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94">
              <w:r>
                <w:rPr>
                  <w:rStyle w:val="InternetLink"/>
                  <w:rFonts w:ascii="Times New Roman;sans-serif" w:hAnsi="Times New Roman;sans-serif"/>
                  <w:b w:val="false"/>
                  <w:color w:val="0000FF"/>
                  <w:sz w:val="20"/>
                  <w:u w:val="single"/>
                </w:rPr>
                <w:t>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94">
              <w:r>
                <w:rPr>
                  <w:rStyle w:val="InternetLink"/>
                  <w:rFonts w:ascii="Times New Roman;sans-serif" w:hAnsi="Times New Roman;sans-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97">
              <w:r>
                <w:rPr>
                  <w:rStyle w:val="InternetLink"/>
                  <w:rFonts w:ascii="Times New Roman;sans-serif" w:hAnsi="Times New Roman;sans-serif"/>
                  <w:b w:val="false"/>
                  <w:color w:val="0000FF"/>
                  <w:sz w:val="20"/>
                  <w:u w:val="single"/>
                </w:rPr>
                <w:t>Seasonal Influences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97">
              <w:r>
                <w:rPr>
                  <w:rStyle w:val="InternetLink"/>
                  <w:rFonts w:ascii="Times New Roman;sans-serif" w:hAnsi="Times New Roman;sans-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00">
              <w:r>
                <w:rPr>
                  <w:rStyle w:val="InternetLink"/>
                  <w:rFonts w:ascii="Times New Roman;sans-serif" w:hAnsi="Times New Roman;sans-serif"/>
                  <w:b w:val="false"/>
                  <w:color w:val="0000FF"/>
                  <w:sz w:val="20"/>
                  <w:u w:val="single"/>
                </w:rPr>
                <w:t>Employees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00">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03">
              <w:r>
                <w:rPr>
                  <w:rStyle w:val="InternetLink"/>
                  <w:rFonts w:ascii="Times New Roman;sans-serif" w:hAnsi="Times New Roman;sans-serif"/>
                  <w:b w:val="false"/>
                  <w:color w:val="0000FF"/>
                  <w:sz w:val="20"/>
                  <w:u w:val="single"/>
                </w:rPr>
                <w:t>Disclosures of Financial Market Risks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03">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06">
              <w:r>
                <w:rPr>
                  <w:rStyle w:val="InternetLink"/>
                  <w:rFonts w:ascii="Times New Roman;sans-serif" w:hAnsi="Times New Roman;sans-serif"/>
                  <w:b w:val="false"/>
                  <w:color w:val="0000FF"/>
                  <w:sz w:val="20"/>
                  <w:u w:val="single"/>
                </w:rPr>
                <w:t>Environmental</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06">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09">
              <w:r>
                <w:rPr>
                  <w:rStyle w:val="InternetLink"/>
                  <w:rFonts w:ascii="Times New Roman;sans-serif" w:hAnsi="Times New Roman;sans-serif"/>
                  <w:b w:val="false"/>
                  <w:color w:val="0000FF"/>
                  <w:sz w:val="20"/>
                  <w:u w:val="single"/>
                </w:rPr>
                <w:t>Critical Accounting Estimates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09">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12">
              <w:r>
                <w:rPr>
                  <w:rStyle w:val="InternetLink"/>
                  <w:rFonts w:ascii="Times New Roman;sans-serif" w:hAnsi="Times New Roman;sans-serif"/>
                  <w:b w:val="false"/>
                  <w:color w:val="0000FF"/>
                  <w:sz w:val="20"/>
                  <w:u w:val="single"/>
                </w:rPr>
                <w:t>New and Recently Adopted Accounting Standards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12">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15">
              <w:r>
                <w:rPr>
                  <w:rStyle w:val="InternetLink"/>
                  <w:rFonts w:ascii="Times New Roman;sans-serif" w:hAnsi="Times New Roman;sans-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15">
              <w:r>
                <w:rPr>
                  <w:rStyle w:val="InternetLink"/>
                  <w:rFonts w:ascii="Times New Roman;sans-serif" w:hAnsi="Times New Roman;sans-serif"/>
                  <w:b w:val="false"/>
                  <w:color w:val="0000FF"/>
                  <w:sz w:val="20"/>
                  <w:u w:val="single"/>
                </w:rPr>
                <w:t>Quantitative and Qualitative Disclosures About Market Risk</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15">
              <w:r>
                <w:rPr>
                  <w:rStyle w:val="InternetLink"/>
                  <w:rFonts w:ascii="Times New Roman;sans-serif" w:hAnsi="Times New Roman;sans-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18">
              <w:r>
                <w:rPr>
                  <w:rStyle w:val="InternetLink"/>
                  <w:rFonts w:ascii="Times New Roman;sans-serif" w:hAnsi="Times New Roman;sans-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18">
              <w:r>
                <w:rPr>
                  <w:rStyle w:val="InternetLink"/>
                  <w:rFonts w:ascii="Times New Roman;sans-serif" w:hAnsi="Times New Roman;sans-serif"/>
                  <w:b w:val="false"/>
                  <w:color w:val="0000FF"/>
                  <w:sz w:val="20"/>
                  <w:u w:val="single"/>
                </w:rPr>
                <w:t>Controls and Procedures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18">
              <w:r>
                <w:rPr>
                  <w:rStyle w:val="InternetLink"/>
                  <w:rFonts w:ascii="Times New Roman;sans-serif" w:hAnsi="Times New Roman;sans-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c2eef25703d7400ba39006a53e828d61_121">
              <w:r>
                <w:rPr>
                  <w:rStyle w:val="InternetLink"/>
                  <w:rFonts w:ascii="Times New Roman;sans-serif" w:hAnsi="Times New Roman;sans-serif"/>
                  <w:b/>
                  <w:color w:val="0000FF"/>
                  <w:sz w:val="20"/>
                  <w:u w:val="single"/>
                </w:rPr>
                <w:t>PART II—OTHER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24">
              <w:r>
                <w:rPr>
                  <w:rStyle w:val="InternetLink"/>
                  <w:rFonts w:ascii="Times New Roman;sans-serif" w:hAnsi="Times New Roman;sans-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24">
              <w:r>
                <w:rPr>
                  <w:rStyle w:val="InternetLink"/>
                  <w:rFonts w:ascii="Times New Roman;sans-serif" w:hAnsi="Times New Roman;sans-serif"/>
                  <w:b w:val="false"/>
                  <w:color w:val="0000FF"/>
                  <w:sz w:val="20"/>
                  <w:u w:val="single"/>
                </w:rPr>
                <w:t>Legal Proceedings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24">
              <w:r>
                <w:rPr>
                  <w:rStyle w:val="InternetLink"/>
                  <w:rFonts w:ascii="Times New Roman;sans-serif" w:hAnsi="Times New Roman;sans-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27">
              <w:r>
                <w:rPr>
                  <w:rStyle w:val="InternetLink"/>
                  <w:rFonts w:ascii="Times New Roman;sans-serif" w:hAnsi="Times New Roman;sans-serif"/>
                  <w:b w:val="false"/>
                  <w:color w:val="0000FF"/>
                  <w:sz w:val="20"/>
                  <w:u w:val="single"/>
                </w:rPr>
                <w:t>Item 1A.</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27">
              <w:r>
                <w:rPr>
                  <w:rStyle w:val="InternetLink"/>
                  <w:rFonts w:ascii="Times New Roman;sans-serif" w:hAnsi="Times New Roman;sans-serif"/>
                  <w:b w:val="false"/>
                  <w:color w:val="0000FF"/>
                  <w:sz w:val="20"/>
                  <w:u w:val="single"/>
                </w:rPr>
                <w:t>Risk Factors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27">
              <w:r>
                <w:rPr>
                  <w:rStyle w:val="InternetLink"/>
                  <w:rFonts w:ascii="Times New Roman;sans-serif" w:hAnsi="Times New Roman;sans-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0">
              <w:r>
                <w:rPr>
                  <w:rStyle w:val="InternetLink"/>
                  <w:rFonts w:ascii="Times New Roman;sans-serif" w:hAnsi="Times New Roman;sans-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0">
              <w:r>
                <w:rPr>
                  <w:rStyle w:val="InternetLink"/>
                  <w:rFonts w:ascii="Times New Roman;sans-serif" w:hAnsi="Times New Roman;sans-serif"/>
                  <w:b w:val="false"/>
                  <w:color w:val="0000FF"/>
                  <w:sz w:val="20"/>
                  <w:u w:val="single"/>
                </w:rPr>
                <w:t>Unregistered Sales of Equity Securities and Use of Proceeds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30">
              <w:r>
                <w:rPr>
                  <w:rStyle w:val="InternetLink"/>
                  <w:rFonts w:ascii="Times New Roman;sans-serif" w:hAnsi="Times New Roman;sans-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3">
              <w:r>
                <w:rPr>
                  <w:rStyle w:val="InternetLink"/>
                  <w:rFonts w:ascii="Times New Roman;sans-serif" w:hAnsi="Times New Roman;sans-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3">
              <w:r>
                <w:rPr>
                  <w:rStyle w:val="InternetLink"/>
                  <w:rFonts w:ascii="Times New Roman;sans-serif" w:hAnsi="Times New Roman;sans-serif"/>
                  <w:b w:val="false"/>
                  <w:color w:val="0000FF"/>
                  <w:sz w:val="20"/>
                  <w:u w:val="single"/>
                </w:rPr>
                <w:t>Defaults Upon Senior Securities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33">
              <w:r>
                <w:rPr>
                  <w:rStyle w:val="InternetLink"/>
                  <w:rFonts w:ascii="Times New Roman;sans-serif" w:hAnsi="Times New Roman;sans-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6">
              <w:r>
                <w:rPr>
                  <w:rStyle w:val="InternetLink"/>
                  <w:rFonts w:ascii="Times New Roman;sans-serif" w:hAnsi="Times New Roman;sans-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6">
              <w:r>
                <w:rPr>
                  <w:rStyle w:val="InternetLink"/>
                  <w:rFonts w:ascii="Times New Roman;sans-serif" w:hAnsi="Times New Roman;sans-serif"/>
                  <w:b w:val="false"/>
                  <w:color w:val="0000FF"/>
                  <w:sz w:val="20"/>
                  <w:u w:val="single"/>
                </w:rPr>
                <w:t>Mine Safety Disclosures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36">
              <w:r>
                <w:rPr>
                  <w:rStyle w:val="InternetLink"/>
                  <w:rFonts w:ascii="Times New Roman;sans-serif" w:hAnsi="Times New Roman;sans-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9">
              <w:r>
                <w:rPr>
                  <w:rStyle w:val="InternetLink"/>
                  <w:rFonts w:ascii="Times New Roman;sans-serif" w:hAnsi="Times New Roman;sans-serif"/>
                  <w:b w:val="false"/>
                  <w:color w:val="0000FF"/>
                  <w:sz w:val="20"/>
                  <w:u w:val="single"/>
                </w:rPr>
                <w:t>Item 5.</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39">
              <w:r>
                <w:rPr>
                  <w:rStyle w:val="InternetLink"/>
                  <w:rFonts w:ascii="Times New Roman;sans-serif" w:hAnsi="Times New Roman;sans-serif"/>
                  <w:b w:val="false"/>
                  <w:color w:val="0000FF"/>
                  <w:sz w:val="20"/>
                  <w:u w:val="single"/>
                </w:rPr>
                <w:t>Other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39">
              <w:r>
                <w:rPr>
                  <w:rStyle w:val="InternetLink"/>
                  <w:rFonts w:ascii="Times New Roman;sans-serif" w:hAnsi="Times New Roman;sans-serif"/>
                  <w:b w:val="false"/>
                  <w:color w:val="0000FF"/>
                  <w:sz w:val="20"/>
                  <w:u w:val="single"/>
                </w:rPr>
                <w:t>37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42">
              <w:r>
                <w:rPr>
                  <w:rStyle w:val="InternetLink"/>
                  <w:rFonts w:ascii="Times New Roman;sans-serif" w:hAnsi="Times New Roman;sans-serif"/>
                  <w:b w:val="false"/>
                  <w:color w:val="0000FF"/>
                  <w:sz w:val="20"/>
                  <w:u w:val="single"/>
                </w:rPr>
                <w:t>Item 6.</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42">
              <w:r>
                <w:rPr>
                  <w:rStyle w:val="InternetLink"/>
                  <w:rFonts w:ascii="Times New Roman;sans-serif" w:hAnsi="Times New Roman;sans-serif"/>
                  <w:b w:val="false"/>
                  <w:color w:val="0000FF"/>
                  <w:sz w:val="20"/>
                  <w:u w:val="single"/>
                </w:rPr>
                <w:t>Exhibits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42">
              <w:r>
                <w:rPr>
                  <w:rStyle w:val="InternetLink"/>
                  <w:rFonts w:ascii="Times New Roman;sans-serif" w:hAnsi="Times New Roman;sans-serif"/>
                  <w:b w:val="false"/>
                  <w:color w:val="0000FF"/>
                  <w:sz w:val="20"/>
                  <w:u w:val="single"/>
                </w:rPr>
                <w:t>37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eef25703d7400ba39006a53e828d61_145">
              <w:r>
                <w:rPr>
                  <w:rStyle w:val="InternetLink"/>
                  <w:rFonts w:ascii="Times New Roman;sans-serif" w:hAnsi="Times New Roman;sans-serif"/>
                  <w:b w:val="false"/>
                  <w:color w:val="0000FF"/>
                  <w:sz w:val="20"/>
                  <w:u w:val="single"/>
                </w:rPr>
                <w:t>Signatures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eef25703d7400ba39006a53e828d61_145">
              <w:r>
                <w:rPr>
                  <w:rStyle w:val="InternetLink"/>
                  <w:rFonts w:ascii="Times New Roman;sans-serif" w:hAnsi="Times New Roman;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2"/>
        </w:rPr>
      </w:pPr>
      <w:r>
        <w:rPr>
          <w:rFonts w:ascii="Times New Roman;sans-serif" w:hAnsi="Times New Roman;sans-serif"/>
          <w:b/>
          <w:i/>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557"/>
        <w:gridCol w:w="1212"/>
        <w:gridCol w:w="122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5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 except per-share data)</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labor, and other operating expenses (excluding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distribution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4,690,779 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gain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expense (excluding service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386,121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684"/>
        <w:gridCol w:w="1467"/>
        <w:gridCol w:w="1487"/>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68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net of tax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Defined benefit pension plans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 net of tax of $3, $2, $7, and $6,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91,045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386,140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699" w:type="dxa"/>
        <w:jc w:val="center"/>
        <w:tblInd w:w="0" w:type="dxa"/>
        <w:tblLayout w:type="fixed"/>
        <w:tblCellMar>
          <w:top w:w="28" w:type="dxa"/>
          <w:left w:w="28" w:type="dxa"/>
          <w:bottom w:w="28" w:type="dxa"/>
          <w:right w:w="28" w:type="dxa"/>
        </w:tblCellMar>
      </w:tblPr>
      <w:tblGrid>
        <w:gridCol w:w="1339"/>
        <w:gridCol w:w="1178"/>
        <w:gridCol w:w="1188"/>
        <w:gridCol w:w="211"/>
        <w:gridCol w:w="991"/>
        <w:gridCol w:w="109"/>
        <w:gridCol w:w="109"/>
        <w:gridCol w:w="109"/>
        <w:gridCol w:w="109"/>
        <w:gridCol w:w="211"/>
        <w:gridCol w:w="99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less allowances of $4,979 and $3,278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Timber deposits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3,441,627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3,458,646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06"/>
        <w:gridCol w:w="2294"/>
        <w:gridCol w:w="2298"/>
        <w:gridCol w:w="211"/>
        <w:gridCol w:w="995"/>
        <w:gridCol w:w="109"/>
        <w:gridCol w:w="109"/>
        <w:gridCol w:w="109"/>
        <w:gridCol w:w="109"/>
        <w:gridCol w:w="211"/>
        <w:gridCol w:w="995"/>
        <w:gridCol w:w="159"/>
      </w:tblGrid>
      <w:tr>
        <w:trPr/>
        <w:tc>
          <w:tcPr>
            <w:tcW w:w="260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 except per-share data)</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contingent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per share; 50,000 shares authorized, no shares issued and outstanding</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 300,000 shares authorized, 45,130 and 44,983 shares issued,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6,675 and 5,443 shares at cost, respectively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2,195,664 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3,441,627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3,458,646</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113" w:type="dxa"/>
        <w:jc w:val="left"/>
        <w:tblInd w:w="0" w:type="dxa"/>
        <w:tblLayout w:type="fixed"/>
        <w:tblCellMar>
          <w:top w:w="28" w:type="dxa"/>
          <w:left w:w="28" w:type="dxa"/>
          <w:bottom w:w="28" w:type="dxa"/>
          <w:right w:w="28" w:type="dxa"/>
        </w:tblCellMar>
      </w:tblPr>
      <w:tblGrid>
        <w:gridCol w:w="2272"/>
        <w:gridCol w:w="1997"/>
        <w:gridCol w:w="2000"/>
        <w:gridCol w:w="211"/>
        <w:gridCol w:w="841"/>
        <w:gridCol w:w="109"/>
        <w:gridCol w:w="109"/>
        <w:gridCol w:w="109"/>
        <w:gridCol w:w="109"/>
        <w:gridCol w:w="211"/>
        <w:gridCol w:w="991"/>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 operations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in net income not using (providing)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including deferred financing costs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working capital, net of acquisitions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 investment</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facilities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investment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 financing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purchased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on stock-based awards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761,599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1,272,963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1595" w:type="dxa"/>
        <w:jc w:val="center"/>
        <w:tblInd w:w="0" w:type="dxa"/>
        <w:tblLayout w:type="fixed"/>
        <w:tblCellMar>
          <w:top w:w="28" w:type="dxa"/>
          <w:left w:w="28" w:type="dxa"/>
          <w:bottom w:w="28" w:type="dxa"/>
          <w:right w:w="28" w:type="dxa"/>
        </w:tblCellMar>
      </w:tblPr>
      <w:tblGrid>
        <w:gridCol w:w="621"/>
        <w:gridCol w:w="282"/>
        <w:gridCol w:w="283"/>
        <w:gridCol w:w="330"/>
        <w:gridCol w:w="331"/>
        <w:gridCol w:w="196"/>
        <w:gridCol w:w="109"/>
        <w:gridCol w:w="109"/>
        <w:gridCol w:w="109"/>
        <w:gridCol w:w="196"/>
        <w:gridCol w:w="436"/>
        <w:gridCol w:w="109"/>
        <w:gridCol w:w="109"/>
        <w:gridCol w:w="109"/>
        <w:gridCol w:w="109"/>
        <w:gridCol w:w="285"/>
        <w:gridCol w:w="286"/>
        <w:gridCol w:w="196"/>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44,983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5,443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(145,335)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560,697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1,780,369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2,195,664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($0.20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45,127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5,649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(172,377)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553,821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1,875,816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2,257,202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($0.20 per share)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stock-based awards</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45,130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(234,879)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557,478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1,980,428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2,302,976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($5.21 per share)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45,130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6,675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(305,227)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561,223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(495)</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1,867,481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2,123,433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Boise Cascade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1595" w:type="dxa"/>
        <w:jc w:val="center"/>
        <w:tblInd w:w="0" w:type="dxa"/>
        <w:tblLayout w:type="fixed"/>
        <w:tblCellMar>
          <w:top w:w="28" w:type="dxa"/>
          <w:left w:w="28" w:type="dxa"/>
          <w:bottom w:w="28" w:type="dxa"/>
          <w:right w:w="28" w:type="dxa"/>
        </w:tblCellMar>
      </w:tblPr>
      <w:tblGrid>
        <w:gridCol w:w="621"/>
        <w:gridCol w:w="282"/>
        <w:gridCol w:w="283"/>
        <w:gridCol w:w="330"/>
        <w:gridCol w:w="331"/>
        <w:gridCol w:w="196"/>
        <w:gridCol w:w="109"/>
        <w:gridCol w:w="109"/>
        <w:gridCol w:w="109"/>
        <w:gridCol w:w="196"/>
        <w:gridCol w:w="436"/>
        <w:gridCol w:w="109"/>
        <w:gridCol w:w="109"/>
        <w:gridCol w:w="109"/>
        <w:gridCol w:w="109"/>
        <w:gridCol w:w="285"/>
        <w:gridCol w:w="286"/>
        <w:gridCol w:w="196"/>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9"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44,827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5,367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(138,909)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551,215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1,645,741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2,057,975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($0.15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44,983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548,611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1,736,364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2,144,520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($3.15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44,983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552,805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1,756,224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2,168,524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($0.20 per share)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44,983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556,805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(501)</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1,891,289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2,307,595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Condensed Notes to Unaudited Quarterly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1.    Nature of Operations and Consolidation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Boise Cascade Company is a building products company headquartered in Boise, Idaho. As used in this Form 10-Q, the terms "Boise Cascade," "we," and "our" refer to Boise Cascade Company and its consolidated subsidiaries. We are one of the largest producers of engineered wood products (EWP) and plywood in North America and a leading United States wholesale distributor of building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using two reportable segments: (1) Wood Products, which primarily manufactures EWP and plywood, and (2) Building Materials Distribution (BMD), which is a wholesale distributor of building materials. For more information, see Note 12, Segment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quarterly consolidated financial statements have not been audited by an independent registered public accounting firm but, in the opinion of management, include all adjustments necessary to present fairly the financial position, results of operations, cash flows, and stockholders' equity for the interim periods presented. Except as disclosed within these condensed notes to unaudited quarterly consolidated financial statements, the adjustments made were of a normal, recurring nature. Certain information and footnote disclosures normally included in our annual consolidated financial statements have been condensed or omitted. The quarterly consolidated financial statements include the accounts of Boise Cascade and its subsidiaries after elimination of intercompany balances and transactions. Quarterly results are not necessarily indicative of results that may be expected for the full year. These condensed notes to unaudited quarterly consolidated financial statements should be read in conjunction with our 2023 Form 10-K and the other reports we file with the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2.    Summary of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complete summary of significant accounting policies is included in Note 2, Summary of Significant Accounting Policies, of the Notes to Consolidated Financial Statements in "Item 8. Financial Statements and Supplementary Data" in our 2023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legal contingencies; guarantee obligations; indemnifications; assumptions used in retirement, medical, and workers' compensation benefits; assumptions used in the determination of right-of-use (ROU) assets and related lease liabilities; stock-based compensation; fair value measurements; income taxes; and vendor and customer rebates,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We adjust such estimates and assumptions when facts and circumstances dictate. As future events and their effects cannot be determined with precision, actual results could differ significantly from these estimates. Changes in these estimates resulting from continuing changes in the economic environment will be reflected in the consolidated financial statements in future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recognized when control of the promised goods or services is transferred to our customers, in an amount that reflects the consideration we expect to be entitled to in exchange for those goods or services. For revenue disaggregated by major product line for each reportable segment, see Note 12,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Fees for shipping and handling charged to customers for sales transactions are included in "Sales" in our Consolidated Statements of Operations. When control over products has transferred to the customer, we have elected to recognize costs related to shipping and handling as fulfillment costs. For our Wood Products segment, costs related to shipping and handling are included in "Materials, labor, and other operating expenses (excluding depreciation)" in our Consolidated Statements of Operations. In our Wood Products segment, we view our shipping and handling costs as a cost of the manufacturing process and the movement of product to our end customers. For our BMD segment, costs related to shipping and handling of $67.7 million and $61.6 million for the three months ended September 30, 2024 and 2023, respectively, and $191.2 million and $175.4 million for the nine months ended September 30, 2024 and 2023, respectively, are included in "Selling and distribution expenses" in our Consolidated Statements of Operations. In our BMD segment, our activities relate to the purchase and resale of finished products, and excluding shipping and handling costs from "Materials, labor, and other operating expenses (excluding depreciation)" provides us a clearer view of our operating performance and the effectiveness of our sales and purchasing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Rebates and Allowances and Cash Discounts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Rebates are provided to our customers and our customers' customers based on the volume of their purchases, among other factors such as customer loyalty, conversion, and commitment, as well as temporary protection from price increases. We provide the rebates to increase the sell-through of our products. Rebates are generally estimated based on the expected amount to be paid and recorded as a decrease in "Sales." At September 30, 2024 and December 31, 2023, we had $96.3 million and $87.9 million, respectively, of rebates payable to our customers recorded in "Accrued liabilities, Other" on our Consolidated Balance Sheets. We also estimate expected cash discounts on trade accounts receivable based on an analysis of historical experience and record cash discounts as a decrease in "Sales." We adjust our estimate of revenue at the earlier of when the probability of rebates paid and cash discounts provided changes or when the amounts become fixed. There have not been significant changes to our estimates of rebates, although it is reasonably possible that a change in the estimate may occur.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Vendor Rebates and Allowances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rebates and allowances from our vendors under a number of different programs, including vendor marketing programs. At September 30, 2024 and December 31, 2023, we had $13.3 million and $17.4 million, respectively, of vendor rebates and allowances recorded in "Receivables, Other" on our Consolidated Balance Sheets. Rebates and allowances received from our vendors are recognized as a reduction of "Materials, labor, and other operating expenses (excluding depreciation)" when the product is sold, unless the rebates and allowances are linked to a specific incremental cost to sell a vendor's product. Amounts received from vendors that are linked to specific selling and distribution expenses are recognized as a reduction of "Selling and distribution expenses" in the period the expense is incurred.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lease land, building, and equipment under operating and finance leases. We determine if an arrangement is a lease at inception and assess lease classification as either operating or finance at lease inception or upon modification. Substantially all of our leases with initial terms greater than one year are for real estate, including distribution centers, corporate headquarters, land, and other office space. Substantially all of these lease agreements have fixed payment terms based on the passage of time and are recorded in our BMD segment. Many of our leases include fixed escalation clauses, renewal options and/or termination options that are factored into our determination of lease term and lease payments when appropriate. Renewal options generally range from one to ten years with fixed payment terms similar to those in the original lease agreements. Some lease agreements provide us with the option to purchase the leased property at market value. Our lease agreements do not contain any residual value 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fixed lease payments over the lease term. The current portion of our operating and finance lease liabilities are recorded in "Accrued liabilities, Other" on our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estimated incremental borrowing rate, which is derived from information available at the lease commencement date, in determining the present value of lease payments. In determining our incremental borrowing rates, we give consideration to publicly available interest rates for instruments with similar characteristics, including credit rating, term, and collateralization.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straight-line rent expense, the lease term is calculated from the date we first take possession of the facility, including any periods of free rent and any renewal option periods we are reasonably certain of exercising. Variable lease expense generally includes reimbursement of actual costs for common area maintenance, property taxes, and insurance on leased real estate and are recorded as incurred. Most of our operating lease expense is recorded in "Selling and distribution expenses" in our Consolidated Statements of Operations. In addition, we do not separate lease and non-lease components for all of our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short-term leases primarily include equipment rentals with lease terms on a month-to-month basis, which provide for our seasonal needs and flexibility in the use of equipment. Our short-term leases also include certain real estate for which either party has the right to cancel upon providing notice of 30 to 90 days. We do not recognize ROU assets or lease liabilities for short-term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included the following (work in process is not material):</w:t>
      </w:r>
    </w:p>
    <w:p>
      <w:pPr>
        <w:pStyle w:val="TextBody"/>
        <w:bidi w:val="0"/>
        <w:spacing w:lineRule="auto" w:line="288" w:before="0" w:after="0"/>
        <w:jc w:val="left"/>
        <w:rPr>
          <w:color w:val="000000"/>
        </w:rPr>
      </w:pPr>
      <w:r>
        <w:rPr>
          <w:color w:val="000000"/>
        </w:rPr>
        <w:t> </w:t>
      </w:r>
    </w:p>
    <w:tbl>
      <w:tblPr>
        <w:tblW w:w="6323"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37"/>
        <w:gridCol w:w="946"/>
        <w:gridCol w:w="122"/>
        <w:gridCol w:w="109"/>
        <w:gridCol w:w="109"/>
        <w:gridCol w:w="109"/>
        <w:gridCol w:w="228"/>
        <w:gridCol w:w="910"/>
        <w:gridCol w:w="166"/>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Finished goods and work in process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raw materials and supplies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792,356</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712,369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asset classes:</w:t>
      </w:r>
    </w:p>
    <w:p>
      <w:pPr>
        <w:pStyle w:val="TextBody"/>
        <w:bidi w:val="0"/>
        <w:spacing w:lineRule="auto" w:line="288" w:before="0" w:after="0"/>
        <w:jc w:val="left"/>
        <w:rPr>
          <w:color w:val="000000"/>
        </w:rPr>
      </w:pPr>
      <w:r>
        <w:rPr>
          <w:color w:val="000000"/>
        </w:rPr>
        <w:t> </w:t>
      </w:r>
    </w:p>
    <w:tbl>
      <w:tblPr>
        <w:tblW w:w="8572" w:type="dxa"/>
        <w:jc w:val="left"/>
        <w:tblInd w:w="0" w:type="dxa"/>
        <w:tblLayout w:type="fixed"/>
        <w:tblCellMar>
          <w:top w:w="28" w:type="dxa"/>
          <w:left w:w="28" w:type="dxa"/>
          <w:bottom w:w="28" w:type="dxa"/>
          <w:right w:w="28" w:type="dxa"/>
        </w:tblCellMar>
      </w:tblPr>
      <w:tblGrid>
        <w:gridCol w:w="1918"/>
        <w:gridCol w:w="1681"/>
        <w:gridCol w:w="1710"/>
        <w:gridCol w:w="109"/>
        <w:gridCol w:w="109"/>
        <w:gridCol w:w="109"/>
        <w:gridCol w:w="237"/>
        <w:gridCol w:w="946"/>
        <w:gridCol w:w="122"/>
        <w:gridCol w:w="109"/>
        <w:gridCol w:w="109"/>
        <w:gridCol w:w="109"/>
        <w:gridCol w:w="228"/>
        <w:gridCol w:w="910"/>
        <w:gridCol w:w="166"/>
      </w:tblGrid>
      <w:tr>
        <w:trPr/>
        <w:tc>
          <w:tcPr>
            <w:tcW w:w="191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equipment, information technology, and office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Machinery and equipment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1,992,243 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985,808</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932,633</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fair value hierarchy under GAAP gives the highest priority to quoted market prices (Level 1) and the lowest priority to unobservable inputs (Level 3). In general, and where applicable, we use quoted prices in active markets for identical assets or liabilities to determine fair value (Level 1). If quoted prices in active markets for identical assets or liabilities are not available to determine fair value, we use quoted prices for similar assets and liabilities or inputs that are observable either directly or indirectly (Level 2). If quoted prices for identical or similar assets are not available or are unobservable, we may use internally developed valuation models, whose inputs include bid prices, and third-party valuations utilizing underlying asset assumptions (Level 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are cash and cash equivalents, accounts receivable, accounts payable, long-term debt, and an interest rate swap. Our cash is recorded at cost, which approximates fair value, and our cash equivalents are money market funds. As of September 30, 2024 and December 31, 2023, we held $721.2 million and $899.4 million, respectively, in money market funds that are measured at fair value on a recurring basis using Level 1 inputs. The recorded values of accounts receivable and accounts payable approximate fair values based on their short-term nature. At September 30, 2024 and December 31, 2023, the book value of our fixed-rate debt for each period was $400.0 million, and the fair value was estimated to be $385.0 million and $374.5 million, respectively. The difference between the book value and the fair value is derived from the difference between the period-end market interest rate and the stated rate of our fixed-rate, long-term debt. We estimated the fair value of our fixed-rate debt using quoted market prices of our debt in inactive markets (Level 2 inputs). The interest rate on our variable-rate debt is based on market conditions such as the Secured Overnight Financing Rate (SOFR) or a base rate. Because the interest rate on the variable-rate debt is based on current market conditions, we believe that the estimated fair value of the outstanding balance on our variable-rate debt approximates book value. As discussed below, we also have an interest rate swap to mitigate our variable interest rate exposure, the fair value of which is measured based on Level 2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 and Interest Rate Swap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arising from fluctuations in variable-rate SOFR on our term loan and when we have loan amounts outstanding on our Revolving Credit Facility. At September 30, 2024, we had $50.0 million of variable-rate debt outstanding based on one-month term SOFR. Our objective is to limit the variability of interest payments on our debt. To meet this objective, we enter into receive-variable, pay-fixed interest rate swaps to mitigate the variable-rate cash flow exposure with fixed-rate cash flows. In accordance with our risk management strategy, we actively monitor our interest rate exposure and use derivative instruments from time to time to manage the related risk. We do not speculate using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one interest rate swap agreement. Under the interest rate swap, we receive one-month SOFR plus a spread adjustment of 0.10% variable interest rate payments and make fixed interest rate payments, thereby fixing the interest rate on $50.0 million of variable rate debt exposure. Payments on this interest rate swap, with a notional principal amount of $50.0 million, are due on a monthly basis at an annual fixed rate of 0.41%, and this swap expires in June 2025. The interest rate swap agreement was not designated as a cash flow hedge, and as a result, all changes in the fair value are recognized in "Change in fair value of interest rate swaps" in our Consolidated Statements of Operations rather than through other comprehensive income. At September 30, 2024 we recorded a current asset of $1.4 million in "Prepaid expenses and other" on our Consolidated Balance Sheet. At December 31, 2023, we recorded a long-term asset of $3.0 million in "Other assets" on our Consolidated Balance Sheet. These assets represent the fair value of the interest rate swap agreement. The swap was valued based on observable inputs for similar assets and liabilities and other observable inputs for interest rates and yield curves (Level 2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related to customer accounts receivable. In order to manage credit risk, we consider customer concentrations and current economic trends and monitor the creditworthiness of significant customers based on ongoing credit evaluations. At September 30, 2024, receivables from two customers accounted for approximately 17% and 12% of total receivables. At December 31, 2023, receivables from these two customers accounted for approximately 19% and 13% of total receivables. No other customer accounted for 10% or more of total receivables.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2023, the Financial Accounting Standards Board (FASB) issued Accounting Standards Update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enhances disclosures about significant segment expenses. The amendments in this ASU are effective for fiscal years beginning after December 15, 2023, and interim periods within fiscal years beginning after December 15, 2024 on a retrospective basis. Early adoption is permitted. We are currently evaluating the impact of this ASU on the disclosures related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 xml:space="preserve">which enhances the transparency and decision usefulness of income tax disclosures, primarily related to the rate reconciliation and income taxes paid. The amendments in this ASU are effective for annual periods beginning after December 15, 2024 on a prospective basis. Early adoption is permitted. We are currently evaluating the impact of this ASU on the disclosures related to our consolidated financial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accounting standards recently issued that had or are expected to have a material impact on our consolidated financial statements and associated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amounts in prior year's consolidated financial statements have been reclassified to conform with current year's presentation, none of which were considered material.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3.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we recorded $29.8 million and $101.1 million, respectively, of income tax expense and had an effective rate of 24.7% and 24.8%, respectively. For the three and nine months ended September 30, 2023, we recorded $49.0 million and $131.7 million, respectively, of income tax expense and had an effective rate of 25.5% and 25.4%, respectively. For all periods, the primary reason for the difference between the federal statutory income tax rate of 21% and the effective tax rate was the effect of state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cash paid for taxes, net of refunds received, were $90.0 million and $103.7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4.    Net Income Per Common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 is computed by dividing net income by the weighted average number of common shares outstanding during the period. Weighted average common shares outstanding for the basic net income per common share calculation includes certain vested restricted stock units (RSUs) and performance stock units (PSUs) as there are no conditions under which those shares will not be issued. Diluted net income per common share is computed by dividing net income by the combination of the weighted average number of common shares outstanding during the period and other potentially dilutive weighted average common shares. Other potentially dilutive weighted average common shares include the dilutive effect of RSUs and PSUs for each period using the treasury stock method. Under the treasury stock method, the exercise price of a share and the amount of compensation expense, if any, for future service that has not yet been recognized are assumed to be used to repurchase shares in the current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share:</w:t>
      </w:r>
    </w:p>
    <w:tbl>
      <w:tblPr>
        <w:tblW w:w="10205" w:type="dxa"/>
        <w:jc w:val="left"/>
        <w:tblInd w:w="0" w:type="dxa"/>
        <w:tblLayout w:type="fixed"/>
        <w:tblCellMar>
          <w:top w:w="28" w:type="dxa"/>
          <w:left w:w="28" w:type="dxa"/>
          <w:bottom w:w="28" w:type="dxa"/>
          <w:right w:w="28" w:type="dxa"/>
        </w:tblCellMar>
      </w:tblPr>
      <w:tblGrid>
        <w:gridCol w:w="1676"/>
        <w:gridCol w:w="1472"/>
        <w:gridCol w:w="1490"/>
        <w:gridCol w:w="211"/>
        <w:gridCol w:w="73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67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 except per-share data)</w:t>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307,454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386,121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during the period (for basic calculation)</w:t>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other potential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and potential common shares (for diluted calculation)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9.69</w:t>
            </w: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the dilutive effect of other potential common shares excludes stock awards representing an insignificant number of shares of common stock in both the three months ended September 30, 2024 and 2023, and 0.1 million shares of common stock and an insignificant number of shares of common stock in the nine months ended September 30, 2024 and 2023, respectively. Under the treasury stock method, the inclusion of these stock awards would have been antidilutive.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5.    Acquisitions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account for acquisition transactions 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the results of operations of the acquiree are included in our consolidated financial statements from the acquisition date. The consideration transferred is allocated to the identifiable assets acquired and liabilities assumed based on estimated fair values at the acquisition date, with any excess recorded as goodwill. Transaction-related costs are expensed in the period the costs are incurred. During the measurement period, which may be up to one year from the acquisition date, we may record adjustments to the assets acquired and liabilities assumed with the corresponding adjustment to goodwill.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5, 2024, our wholly-owned subsidiary, Boise Cascade Building Materials Distribution L.L.C. (BMD), acquired assets of a door and millwork operation in Boise, Idaho. The purchase price of the acquisition was $3.5 million, inclusive of a $1.3 million contingent liability reflecting the acquisition date fair value of earn-out payments. We paid $2.2 million at the acquisition date and funded the acquisition and related costs with cash on hand.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Brockway-Smith Company (BROSCO)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 2023, our wholly-owned subsidiary, BMD, completed the acquisition of BROSCO, a wholesale distributor specializing in doors and millwork, pursuant to the Agreement and Plan of Merger, dated August 22, 2023 (Merger Agreement), by and among BMD, Firepit Merger Sub, Inc., a wholly-owned subsidiary of BMD (the Merger Sub), BROSCO and the representative of the BROSCO stockholders. On the terms and subject to the conditions set forth in the Merger Agreement, on October 2, 2023, Merger Sub merged with and into BROSCO, with BROSCO surviving the merger as a wholly-owned subsidiary of BMD (the BROSCO Acquisition). The purchase price of the BROSCO Acquisition was $166.2 million, net of cash acquired, and inclusive of a post-transaction closing adjustment of $3.4 million based upon working capital and indebtedness as defined in the Merger Agreement. We funded the BROSCO Acquisition and related costs with cash on hand.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allocations of the BROSCO Acquisition purchase price consideration to the assets acquired and liabilities assumed based upon their respective estimated fair values at the date of acquisition:</w:t>
      </w:r>
    </w:p>
    <w:tbl>
      <w:tblPr>
        <w:tblW w:w="6341" w:type="dxa"/>
        <w:jc w:val="left"/>
        <w:tblInd w:w="0" w:type="dxa"/>
        <w:tblLayout w:type="fixed"/>
        <w:tblCellMar>
          <w:top w:w="28" w:type="dxa"/>
          <w:left w:w="28" w:type="dxa"/>
          <w:bottom w:w="28" w:type="dxa"/>
          <w:right w:w="28" w:type="dxa"/>
        </w:tblCellMar>
      </w:tblPr>
      <w:tblGrid>
        <w:gridCol w:w="1271"/>
        <w:gridCol w:w="1116"/>
        <w:gridCol w:w="1122"/>
        <w:gridCol w:w="109"/>
        <w:gridCol w:w="109"/>
        <w:gridCol w:w="109"/>
        <w:gridCol w:w="438"/>
        <w:gridCol w:w="1747"/>
        <w:gridCol w:w="320"/>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Date Fair Value</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196,991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26,821</w:t>
            </w: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170,170</w:t>
            </w: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 paid,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166,161</w:t>
            </w: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Financial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 forma financial information presents the combined results of operations as if the BROSCO facilities had been combined with us on January 1, 2022. The pro forma results are intended for information purposes only and do not purport to represent what the combined companies' results of operations would actually have been had the related transaction in fact occurred on January 1, 2022. They also do not reflect any cost savings, operating synergies, or revenue enhancements that we may achieve or the costs necessary to achieve these cost savings, operating synergies, revenue enhancements, or integration efforts. </w:t>
      </w:r>
    </w:p>
    <w:p>
      <w:pPr>
        <w:pStyle w:val="TextBody"/>
        <w:bidi w:val="0"/>
        <w:spacing w:before="0" w:after="0"/>
        <w:jc w:val="left"/>
        <w:rPr/>
      </w:pPr>
      <w:r>
        <w:rPr/>
      </w:r>
    </w:p>
    <w:tbl>
      <w:tblPr>
        <w:tblW w:w="5391" w:type="dxa"/>
        <w:jc w:val="left"/>
        <w:tblInd w:w="0" w:type="dxa"/>
        <w:tblLayout w:type="fixed"/>
        <w:tblCellMar>
          <w:top w:w="28" w:type="dxa"/>
          <w:left w:w="28" w:type="dxa"/>
          <w:bottom w:w="28" w:type="dxa"/>
          <w:right w:w="28" w:type="dxa"/>
        </w:tblCellMar>
      </w:tblPr>
      <w:tblGrid>
        <w:gridCol w:w="380"/>
        <w:gridCol w:w="333"/>
        <w:gridCol w:w="336"/>
        <w:gridCol w:w="109"/>
        <w:gridCol w:w="109"/>
        <w:gridCol w:w="109"/>
        <w:gridCol w:w="305"/>
        <w:gridCol w:w="1412"/>
        <w:gridCol w:w="157"/>
        <w:gridCol w:w="109"/>
        <w:gridCol w:w="109"/>
        <w:gridCol w:w="109"/>
        <w:gridCol w:w="285"/>
        <w:gridCol w:w="1321"/>
        <w:gridCol w:w="20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 thousands)</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5,341,208 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145,153 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397,346 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6.</w:t>
      </w:r>
      <w:r>
        <w:rPr>
          <w:color w:val="000000"/>
        </w:rPr>
        <w:t>    </w:t>
      </w: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and related costs over the fair value of the net tangible and intangible assets of businesses acquired.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our goodwill by segment is as follows:</w:t>
      </w:r>
    </w:p>
    <w:tbl>
      <w:tblPr>
        <w:tblW w:w="7044" w:type="dxa"/>
        <w:jc w:val="left"/>
        <w:tblInd w:w="0" w:type="dxa"/>
        <w:tblLayout w:type="fixed"/>
        <w:tblCellMar>
          <w:top w:w="28" w:type="dxa"/>
          <w:left w:w="28" w:type="dxa"/>
          <w:bottom w:w="28" w:type="dxa"/>
          <w:right w:w="28" w:type="dxa"/>
        </w:tblCellMar>
      </w:tblPr>
      <w:tblGrid>
        <w:gridCol w:w="956"/>
        <w:gridCol w:w="839"/>
        <w:gridCol w:w="845"/>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Building</w:t>
              <w:br/>
              <w:t>Materials</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Wood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45,779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126,166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171,945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18"/>
        </w:rPr>
      </w:pPr>
      <w:r>
        <w:rPr>
          <w:rFonts w:ascii="Times New Roman;sans-serif" w:hAnsi="Times New Roman;sans-serif"/>
          <w:b w:val="false"/>
          <w:color w:val="000000"/>
          <w:sz w:val="18"/>
        </w:rPr>
        <w:t>(a)    Represents goodwill related to acquired assets of a door and millwork operation in Boise, Idaho. For additional information, see Note 5, Acquisitions.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At September 30, 2024 and December 31, 2023, intangible assets represented the values assigned to trade names and trademarks and customer relationships.</w:t>
      </w:r>
      <w:r>
        <w:rPr>
          <w:color w:val="3051F2"/>
        </w:rPr>
        <w:t xml:space="preserve"> </w:t>
      </w:r>
      <w:r>
        <w:rPr>
          <w:rFonts w:ascii="Times New Roman;sans-serif" w:hAnsi="Times New Roman;sans-serif"/>
          <w:b w:val="false"/>
          <w:color w:val="000000"/>
          <w:sz w:val="20"/>
        </w:rPr>
        <w:t>We maintain trademarks for our manufactured wood products, particularly EWP. Our key registered trademarks are perpetual in duration as long as we continue to timely file all post registration maintenance documents related thereto. These trade names and trademarks have indefinite lives, are not amortized, and have a carrying amount of $8.9 million. For the three months ended September 30, 2024 and 2023 we recognized $5.0 million and $4.2 million, respectively, of amortization expense for intangible assets. For the nine months ended September 30, 2024 and 2023 we recognized $14.8 million and $12.8 million, respectively, of amortization expense for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consisted of the following: </w:t>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223,700</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(46,672)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177,028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222,650</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(31,907)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190,743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7.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p>
      <w:pPr>
        <w:pStyle w:val="TextBody"/>
        <w:bidi w:val="0"/>
        <w:spacing w:before="0" w:after="0"/>
        <w:jc w:val="left"/>
        <w:rPr/>
      </w:pPr>
      <w:r>
        <w:rPr/>
      </w:r>
    </w:p>
    <w:tbl>
      <w:tblPr>
        <w:tblW w:w="6806" w:type="dxa"/>
        <w:jc w:val="left"/>
        <w:tblInd w:w="0" w:type="dxa"/>
        <w:tblLayout w:type="fixed"/>
        <w:tblCellMar>
          <w:top w:w="28" w:type="dxa"/>
          <w:left w:w="28" w:type="dxa"/>
          <w:bottom w:w="28" w:type="dxa"/>
          <w:right w:w="28" w:type="dxa"/>
        </w:tblCellMar>
      </w:tblPr>
      <w:tblGrid>
        <w:gridCol w:w="1400"/>
        <w:gridCol w:w="1231"/>
        <w:gridCol w:w="1239"/>
        <w:gridCol w:w="237"/>
        <w:gridCol w:w="946"/>
        <w:gridCol w:w="122"/>
        <w:gridCol w:w="109"/>
        <w:gridCol w:w="109"/>
        <w:gridCol w:w="109"/>
        <w:gridCol w:w="228"/>
        <w:gridCol w:w="910"/>
        <w:gridCol w:w="166"/>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2027</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credit facility term loan due 2027</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4.875% senior notes due 2030</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445,945</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445,280</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Asset-Based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2015, Boise Cascade and its principal operating subsidiaries, Boise Cascade Wood Products, L.L.C., and Boise Cascade Building Materials Distribution, L.L.C., as borrowers, and Boise Cascade Wood Products Holdings Corp., as guarantor, entered into an Amended and Restated Credit Agreement, as amended, (the Amended Agreement) with Wells Fargo Capital Finance, LLC, as administrative agent, and the banks named therein as lenders. The Amended Agreement includes a $400 million senior secured asset-based revolving credit facility (Revolving Credit Facility) and a $50.0 million term loan (ABL Term Loan) maturing on the earlier of (a) September 9, 2027 and (b) 90 days prior to the maturity of our $400 million of 4.875% senior notes due July 1, 2030 (or the maturity date of any permitted refinancing indebtedness or permitted upsized refinancing indebtedness in respect thereof). Interest on borrowings under our Revolving Credit Facility and ABL Term Loan are payable monthly. Borrowings under the Amended Agreement are constrained by a borrowing base formula dependent upon levels of eligible receivables and inventory reduced by outstanding borrowings and letters of credit (Availability).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Agreement is secured by a first-priority security interest in substantially all of our assets, except for property and equipment. The proceeds of borrowings under the agreement are available for working capital and other general corporate purposes.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Amended Agreement contains customary nonfinancial covenants, including a negative pledge covenant and restrictions on new indebtedness, investments, distributions to equity holders, asset sales, and affiliate transactions, the scope of which are dependent on the Availability existing from time to time. The Amended Agreement also contains a requirement that we meet a 1:1 fixed-charge coverage ratio (FCCR), applicable only if Availability falls below the greater of (a) 10% of the Line Cap (as defined in the Amended Agreement) and (b) $35 million.</w:t>
      </w:r>
      <w:r>
        <w:rPr>
          <w:color w:val="0094FF"/>
        </w:rPr>
        <w:t xml:space="preserve"> </w:t>
      </w:r>
      <w:r>
        <w:rPr>
          <w:rFonts w:ascii="Times New Roman;sans-serif" w:hAnsi="Times New Roman;sans-serif"/>
          <w:b w:val="false"/>
          <w:color w:val="000000"/>
          <w:sz w:val="20"/>
        </w:rPr>
        <w:t>Availability exceeded the minimum threshold amounts required for testing of the FCCR at all times since entering into the Amended Agreement, and Availability at September 30, 2024 was $395.7 million.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Amended Agreement permits us to pay dividends only if at the time of payment (a) no default has occurred or is continuing (or would result from such payment) under the Amended Agreement, and (b) either (i) pro forma Excess Availability (as defined in the Amended Agreement) is equal to or exceeds the greater of (x) 20% of the Line Cap and (y) $75 million or (ii) (x) pro forma Excess Availability is equal to or exceeds the greater of (1)</w:t>
      </w:r>
      <w:r>
        <w:rPr>
          <w:color w:val="0094FF"/>
        </w:rPr>
        <w:t xml:space="preserve"> </w:t>
      </w:r>
      <w:r>
        <w:rPr>
          <w:rFonts w:ascii="Times New Roman;sans-serif" w:hAnsi="Times New Roman;sans-serif"/>
          <w:b w:val="false"/>
          <w:color w:val="000000"/>
          <w:sz w:val="20"/>
        </w:rPr>
        <w:t>15% of Line Cap and (2) $55 million</w:t>
      </w:r>
      <w:r>
        <w:rPr>
          <w:color w:val="0094FF"/>
        </w:rPr>
        <w:t xml:space="preserve"> </w:t>
      </w:r>
      <w:r>
        <w:rPr>
          <w:rFonts w:ascii="Times New Roman;sans-serif" w:hAnsi="Times New Roman;sans-serif"/>
          <w:b w:val="false"/>
          <w:color w:val="000000"/>
          <w:sz w:val="20"/>
        </w:rPr>
        <w:t>and (y) our fixed-charge coverage ratio is greater than or equal to 1:1 on a pro forma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Interest rates under the Revolving Credit Facility are based, at our election, on either Daily Simple SOFR, Term SOFR, or a base rate, as defined in the Amended Agreement, plus a spread over the index elected that ranges from 1.25% to 1.50% for loans based on SOFR and from 0.25% to 0.50% for loans based on the base rate.</w:t>
      </w:r>
      <w:r>
        <w:rPr>
          <w:color w:val="0094FF"/>
        </w:rPr>
        <w:t xml:space="preserve"> </w:t>
      </w:r>
      <w:r>
        <w:rPr>
          <w:rFonts w:ascii="Times New Roman;sans-serif" w:hAnsi="Times New Roman;sans-serif"/>
          <w:b w:val="false"/>
          <w:color w:val="000000"/>
          <w:sz w:val="20"/>
        </w:rPr>
        <w:t>The spread is determined on the basis of a pricing grid that results in a higher spread as average quarterly Availability declines. Both SOFR options include an additional credit spread adjustment of 0.10%. Letters of credit are subject to a fronting fee payable to the issuing bank and a fee payable to the lenders equal to the Term SOFR margin rate.</w:t>
      </w:r>
      <w:r>
        <w:rPr>
          <w:color w:val="0094FF"/>
        </w:rPr>
        <w:t xml:space="preserve"> </w:t>
      </w:r>
      <w:r>
        <w:rPr>
          <w:rFonts w:ascii="Times New Roman;sans-serif" w:hAnsi="Times New Roman;sans-serif"/>
          <w:b w:val="false"/>
          <w:color w:val="000000"/>
          <w:sz w:val="20"/>
        </w:rPr>
        <w:t>In addition, we are required to pay an unused commitment fee at a rate of 0.20% per annum of the average unused portion of the lending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both September 30, 2024 and December 31, 2023, we had no borrowings outstanding under the Revolving Credit Facility and $4.3 million and $4.1 million, respectively, of letters of credit outstanding. These letters of credit and borrowings, if any, reduce availability under the Revolving Credit Facility by an equivalent amount.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ABL Term Loan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ABL Term Loan was provided by institutions within the Farm Credit system. Borrowings under the ABL Term Loan may be repaid from time to time at the discretion of the borrowers without premium or penalty. However, any principal amount of ABL Term Loan repaid may not be subsequently re-borrowed.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 under the ABL Term Loan are based, at our election, on either Daily Simple SOFR, Term SOFR, or a base rate, as defined in the Amended Agreement, plus a spread over the index elected that ranges from 1.75% to 2.00% for SOFR rate loans and from 0.75% to 1.00% for base rate loans, both dependent on the amount of Average Excess Availability (as defined in the Amended Agreement). Both SOFR options include an additional credit spread adjustment of 0.10%. During the nine months ended September 30, 2024, the average interest rate on the ABL Term Loan was approximately 7.17%.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and expect to continue receiving patronage credits under the ABL Term Loan. Patronage credits are distributions of profits from banks in the Farm Credit system, which are cooperatives that are required to distribute profits to their members. Patronage distributions, which are generally made in cash, are received in the year after they are earned. Patronage credits are recorded as a reduction to interest expense in the year earned. After giving effect to expected patronage distributions, the effective average net interest rate on the ABL Term Loan was approximately 6.2% during the nine months ended September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27, 2020, we issued $400 million of 4.875% senior notes due July 1, 2030 (2030 Notes) through a private placement that was exempt from the registration requirements of the Securities Act. Interest on our 2030 Notes is payable semiannually in arrears on January 1 and July 1. The 2030 Notes are guaranteed by each of our existing and future direct or indirect domestic subsidiaries that is a guarantor under our Amended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2030 Notes are senior unsecured obligations and rank equally with all of the existing and future senior indebtedness of Boise Cascade Company and of the guarantors, senior to all of their existing and future subordinated indebtedness, effectively subordinated to all of their present and future senior secured indebtedness (including all borrowings with respect to our Amended Agreement to the extent of the value of the assets securing such indebtedness), and structurally subordinated to the indebtedness of any subsidiaries that do not guarantee the 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indenture governing the 2030 Notes, among other things, limit the ability of Boise Cascade and our restricted subsidiaries to: incur additional debt; declare or pay dividends; redeem stock or make other distributions to stockholders; make investments; create liens on assets; consolidate, merge or transfer substantially all of their assets; enter into transactions with affiliates; and sell or transfer certain assets. The indenture governing the 2030 Notes permits us to pay dividends only if at the time of payment (i) no default has occurred or is continuing (or would result from such payment) under the indenture, and (ii) our consolidated leverage ratio is no greater than 3.5:1, or (iii) the dividend, together with other dividends since the issue date, would not exceed our "builder" basket under the indenture. In addition, the indenture includes certain specific baskets for the payment of 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2030 Notes provides for customary events of default and remedies.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on our interest rate swap, see Interest Rate Risk and Interest Rate Swap of Note 2,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Paid for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cash payments for interest were $20.5 million and $21.7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8.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7950" w:type="dxa"/>
        <w:jc w:val="left"/>
        <w:tblInd w:w="0" w:type="dxa"/>
        <w:tblLayout w:type="fixed"/>
        <w:tblCellMar>
          <w:top w:w="28" w:type="dxa"/>
          <w:left w:w="28" w:type="dxa"/>
          <w:bottom w:w="28" w:type="dxa"/>
          <w:right w:w="28" w:type="dxa"/>
        </w:tblCellMar>
      </w:tblPr>
      <w:tblGrid>
        <w:gridCol w:w="1053"/>
        <w:gridCol w:w="925"/>
        <w:gridCol w:w="932"/>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21,776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8263" w:type="dxa"/>
        <w:jc w:val="left"/>
        <w:tblInd w:w="0" w:type="dxa"/>
        <w:tblLayout w:type="fixed"/>
        <w:tblCellMar>
          <w:top w:w="28" w:type="dxa"/>
          <w:left w:w="28" w:type="dxa"/>
          <w:bottom w:w="28" w:type="dxa"/>
          <w:right w:w="28" w:type="dxa"/>
        </w:tblCellMar>
      </w:tblPr>
      <w:tblGrid>
        <w:gridCol w:w="2105"/>
        <w:gridCol w:w="1845"/>
        <w:gridCol w:w="1855"/>
        <w:gridCol w:w="211"/>
        <w:gridCol w:w="616"/>
        <w:gridCol w:w="109"/>
        <w:gridCol w:w="109"/>
        <w:gridCol w:w="109"/>
        <w:gridCol w:w="109"/>
        <w:gridCol w:w="211"/>
        <w:gridCol w:w="721"/>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8218" w:type="dxa"/>
        <w:jc w:val="left"/>
        <w:tblInd w:w="0" w:type="dxa"/>
        <w:tblLayout w:type="fixed"/>
        <w:tblCellMar>
          <w:top w:w="28" w:type="dxa"/>
          <w:left w:w="28" w:type="dxa"/>
          <w:bottom w:w="28" w:type="dxa"/>
          <w:right w:w="28" w:type="dxa"/>
        </w:tblCellMar>
      </w:tblPr>
      <w:tblGrid>
        <w:gridCol w:w="1419"/>
        <w:gridCol w:w="1246"/>
        <w:gridCol w:w="1250"/>
        <w:gridCol w:w="394"/>
        <w:gridCol w:w="394"/>
        <w:gridCol w:w="982"/>
        <w:gridCol w:w="109"/>
        <w:gridCol w:w="109"/>
        <w:gridCol w:w="109"/>
        <w:gridCol w:w="384"/>
        <w:gridCol w:w="384"/>
        <w:gridCol w:w="957"/>
        <w:gridCol w:w="109"/>
        <w:gridCol w:w="10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533" w:type="dxa"/>
            <w:gridSpan w:val="10"/>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minimum lease payment requirements for noncancelable operating and finance leases are as follows:</w:t>
      </w:r>
    </w:p>
    <w:tbl>
      <w:tblPr>
        <w:tblW w:w="6863"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317"/>
        <w:gridCol w:w="1108"/>
        <w:gridCol w:w="164"/>
        <w:gridCol w:w="109"/>
        <w:gridCol w:w="109"/>
        <w:gridCol w:w="109"/>
        <w:gridCol w:w="276"/>
        <w:gridCol w:w="963"/>
        <w:gridCol w:w="20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43,550</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27,492</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9.    Stock-Based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first quarter 2024 and 2023, we granted two types of stock-based awards under our incentive plan: performance stock units (PSUs) and restricted stock units (RSUs).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PSU and RSU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granted 60,207 PSUs to our officers and other employees, subject to performance and service conditions. For the officers, the PSUs granted are subject to a three-year performance period. The number of shares actually awarded will range from 0% to 200% of the target amount. Achievement is measured in annual sub-periods, based on Boise Cascade's return on invested capital (ROIC) for 2024, 2025, and 2026. The average achievement for the three years included in the performance period will determine the number of earned PSUs, as approved by our compensation committee in accordance with the related grant agreement. We define ROIC as net operating profit after taxes (NOPAT) divided by average invested capital (based on a rolling thirteen-month average). We define NOPAT as net income plus after-tax financing expense. Invested capital is defined as total assets plus capitalized lease expense, less cash, cash equivalents, and current liabilities, excluding short-term debt. For the other employees, the PSUs granted are subject to a one-year performance period. The number of shares actually awarded will range from 0% to 200% of the target amount, depending upon Boise Cascade’s 2024 EBITDA, defined as income before interest (interest expense and interest income), income taxes, and depreciation and amortization, as approved by executive management, determined in accordance with the related grant agreement. Because the PSUs contain a performance condition, we record compensation expense over the requisite service period based on the most probable number of shares expected to vest.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granted 93,282 PSUs to our officers and other employees, subject to performance and service conditions. The PSUs granted were subject to a one-year performance period. During the 2023 performance period, officers and other employees both earned 200% of the target based on Boise Cascade's 2023 ROIC and EBITDA, as applicable, determined by our compensation committee and executive management, as applicable, in accordance with the related grant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PSUs granted to officers generally vest in a single installment three years from the date of grant, while the PSUs granted to other employees vest in three equal tranches each year after the grant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we granted an aggregate of 72,377 and 116,454 RSUs, respectively, to our officers, other employees, and nonemployee directors with only service conditions. The RSUs granted to officers and other employees vest in three equal tranches each year after the grant date. The RSUs granted to nonemployee directors vest in a single installment after a one year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based the fair value of PSU and RSU awards on the closing market price of our common stock on the grant date. During the nine months ended September 30, 2024 and 2023, the total fair value of PSUs and RSUs vested was $34.0 million and $16.8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activity of our PSUs and RSUs awarded under our incentive plan for the nine months ended September 30, 2024:</w:t>
      </w:r>
    </w:p>
    <w:tbl>
      <w:tblPr>
        <w:tblW w:w="10205" w:type="dxa"/>
        <w:jc w:val="left"/>
        <w:tblInd w:w="0" w:type="dxa"/>
        <w:tblLayout w:type="fixed"/>
        <w:tblCellMar>
          <w:top w:w="28" w:type="dxa"/>
          <w:left w:w="28" w:type="dxa"/>
          <w:bottom w:w="28" w:type="dxa"/>
          <w:right w:w="28" w:type="dxa"/>
        </w:tblCellMar>
      </w:tblPr>
      <w:tblGrid>
        <w:gridCol w:w="749"/>
        <w:gridCol w:w="659"/>
        <w:gridCol w:w="661"/>
        <w:gridCol w:w="529"/>
        <w:gridCol w:w="409"/>
        <w:gridCol w:w="385"/>
        <w:gridCol w:w="109"/>
        <w:gridCol w:w="109"/>
        <w:gridCol w:w="109"/>
        <w:gridCol w:w="493"/>
        <w:gridCol w:w="1479"/>
        <w:gridCol w:w="257"/>
        <w:gridCol w:w="109"/>
        <w:gridCol w:w="109"/>
        <w:gridCol w:w="109"/>
        <w:gridCol w:w="529"/>
        <w:gridCol w:w="409"/>
        <w:gridCol w:w="385"/>
        <w:gridCol w:w="109"/>
        <w:gridCol w:w="109"/>
        <w:gridCol w:w="109"/>
        <w:gridCol w:w="433"/>
        <w:gridCol w:w="1519"/>
        <w:gridCol w:w="328"/>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Grant-Date Fair Value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178,511 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adjustment (a)</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(148,872)</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(97,376)</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(32,317)</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2024</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257,351</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86.38</w:t>
            </w: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132,124</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104.54</w:t>
            </w: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Represents additional PSUs granted during the nine months ended September 30, 2024, related to above-target achievement of the 2023 performance condition described above. </w:t>
      </w:r>
    </w:p>
    <w:p>
      <w:pPr>
        <w:pStyle w:val="TextBody"/>
        <w:bidi w:val="0"/>
        <w:spacing w:before="0" w:after="0"/>
        <w:ind w:left="0" w:right="0" w:hanging="63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compensation expense over the awards' vesting period and account for share-based award forfeitures as they occur, rather than making estimates of future forfeitures. Any shares not vested are forfeited. We recognize compensation expense for stock awards with only service conditions on a straight-line basis over the requisite service period. Most of our stock-based compensation expense was recorded in "General and administrative expenses" in our Consolidated Statements of Operations. Total stock-based compensation recognized from PSUs and RSUs, net of forfeitures, was as follows:</w:t>
      </w:r>
    </w:p>
    <w:p>
      <w:pPr>
        <w:pStyle w:val="TextBody"/>
        <w:bidi w:val="0"/>
        <w:spacing w:before="0" w:after="0"/>
        <w:ind w:left="0" w:right="0" w:firstLine="720"/>
        <w:jc w:val="left"/>
        <w:rPr/>
      </w:pPr>
      <w:r>
        <w:rPr/>
      </w:r>
    </w:p>
    <w:tbl>
      <w:tblPr>
        <w:tblW w:w="5611" w:type="dxa"/>
        <w:jc w:val="left"/>
        <w:tblInd w:w="0" w:type="dxa"/>
        <w:tblLayout w:type="fixed"/>
        <w:tblCellMar>
          <w:top w:w="28" w:type="dxa"/>
          <w:left w:w="28" w:type="dxa"/>
          <w:bottom w:w="28" w:type="dxa"/>
          <w:right w:w="28" w:type="dxa"/>
        </w:tblCellMar>
      </w:tblPr>
      <w:tblGrid>
        <w:gridCol w:w="206"/>
        <w:gridCol w:w="181"/>
        <w:gridCol w:w="184"/>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related tax benefit for the nine months ended September 30, 2024 and 2023, was $3.0 million and $2.9 million respectively. As of September 30, 2024, total unrecognized compensation expense related to nonvested share-based compensation arrangements was $20.8 million. This expense is expected to be recognized over a weighted-average period of 1.9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10.    Stockholders' Equity</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2017, we announced that our board of directors approved a dividend policy to pay quarterly cash dividends to holders of our common stock. For more information regarding our dividend declarations and payments made during each of the nine months ended September 30, 2024 and 2023, see "Common stock dividends" on our Consolidated Statements of Stockholders' Equity.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2024, our board of directors declared a quarterly dividend of $0.21 per share on our common stock, payable on December 18, 2024, to stockholders of record on December 2, 2024. For a description of the restrictions in our asset-based credit facility and the indenture governing our senior notes on our ability to pay dividends, see Note 7,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dividend declarations, including amount per share, record date and payment date, will be made at the discretion of our board of directors and will depend upon, among other things, legal capital requirements and surplus, our future operations and earnings, general financial condition, material cash requirements, restrictions imposed by our asset-based credit facility and the indenture governing our senior notes, applicable laws, and other factors that our board of directors may deem relevant.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2022, our board of directors authorized the repurchase of an additional 1.5 million shares of our common stock. This increase was in addition to the remaining authorized shares under our prior common stock repurchase program that was authorized on February 25, 2015 (the Program). Share repurchases may be made on an opportunistic basis, through open market transactions, privately negotiated transactions, or by other means in accordance with applicable federal securities laws. We are not obligated to purchase any shares and there is no set date that the Program will expire. Our board of directors may increase or decrease the number of shares under the Program or terminate the Program in its discretion at any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we repurchased 1,232,345 shares under the Program at a cost of $158.5 million, or an average of $128.62 per share. During the nine months ended September 30, 2023, we repurchased 25,678 shares under the Program at a cost of $1.5 million, or an average of $59.91 per share. The shares were purchased with cash on hand and are recorded as "Treasury stock" on our Consolidated Balance Sheets. As of September 30, 2024, there were 688,966 shares of common stock that may yet be purchased under the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repurchased 50,000 shares under the Program at a cost of $6.9 million, or an average of $137.54 per share. The shares were purchased with cash on hand. In addition, on October 30, 2024, our board of directors authorized the repurchase of an additional 1.4 million shares of our common stock. This increase is in addition to the remaining authorized shares under the Program. As of October 31, 2024, there were approximately 2 million shares of common stock that may yet be purchased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11.    Transactions With Related 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Louisiana Timber Procurement Company, L.L.C. (LTP) is an unconsolidated variable-interest entity that is 50% owned by us and 50% owned by Packaging Corporation of America (PCA). LTP procures sawtimber, pulpwood, residual chips, and other residual wood fiber to meet the wood and fiber requirements of us and PCA in Louisiana. We are not the primary beneficiary of LTP as we do not have power to direct the activities that most significantly affect the economic performance of LTP. Accordingly, we do not consolidate LTP's results in our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Related-party sales to LTP from our Wood Products segment in our Consolidated Statements of Operations were $2.6 million and $2.9 million, respectively, during the three months ended September 30, 2024 and 2023, and $8.3 million and $9.0 million, respectively, during the nine months ended September 30, 2024 and 2023. These sales are recorded in "Sales"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Costs and Expenses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Related-party wood fiber purchases from LTP were $22.1 million and $20.3 million, respectively, during the three months ended September 30, 2024 and 2023, and $63.2 million and $61.5 million, respectively, during the nine months ended September 30, 2024 and 2023. These costs are recorded in "Materials, labor, and other operating expenses (excluding depreciation)" in our Consolidated Statements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12.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using two reportable segments: Wood Products and BMD. We measure and evaluate our reportable segments based on net sales and segment operating income (loss). Accordingly, our chief operating decision maker reviews the performance of the company and allocates resources based primarily on net sales and segment operating income (loss) for our business segments. Unallocated corporate costs are presented as reconciling items to arrive at operating income. There are no differences in our basis of measurement of segment profit or loss from those disclosed in Note 15, Segment Information, of the Notes to Consolidated Financial Statements in "Item 8. Financial Statements and Supplementary Data" in our 2023 Form 10-K.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Wood Products and BMD segment sales to external customers, including related parties, by product line, are as follows:</w:t>
      </w:r>
    </w:p>
    <w:tbl>
      <w:tblPr>
        <w:tblW w:w="8459" w:type="dxa"/>
        <w:jc w:val="left"/>
        <w:tblInd w:w="0" w:type="dxa"/>
        <w:tblLayout w:type="fixed"/>
        <w:tblCellMar>
          <w:top w:w="28" w:type="dxa"/>
          <w:left w:w="28" w:type="dxa"/>
          <w:bottom w:w="28" w:type="dxa"/>
          <w:right w:w="28" w:type="dxa"/>
        </w:tblCellMar>
      </w:tblPr>
      <w:tblGrid>
        <w:gridCol w:w="1096"/>
        <w:gridCol w:w="963"/>
        <w:gridCol w:w="970"/>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Wood Products (a)</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LVL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I-joists (b)</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engineered wood products (b)</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Plywood and veneer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Lumber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Byproducts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Building Materials Distribution  </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line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wood products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5,194.0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___________________________________ </w:t>
      </w:r>
      <w:r>
        <w:rPr>
          <w:color w:val="000000"/>
        </w:rPr>
        <w: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    Amounts represent sales to external customers. Sales are calculated after intersegment sales eliminations to our BMD segment.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xml:space="preserve">(b)    Sales of EWP to external customers are net of the cost of all EWP rebates and sales allowances provided at various stages of the supply chain (including distributors, dealers, and homebuilders). For the nine months ended September 30, 2024 and 2023, approximately 75% and </w:t>
      </w:r>
      <w:r>
        <w:rPr>
          <w:rFonts w:ascii="Times New Roman;sans-serif" w:hAnsi="Times New Roman;sans-serif"/>
          <w:b w:val="false"/>
          <w:color w:val="000000"/>
          <w:sz w:val="20"/>
        </w:rPr>
        <w:t>78%</w:t>
      </w:r>
      <w:r>
        <w:rPr>
          <w:rFonts w:ascii="Times New Roman;sans-serif" w:hAnsi="Times New Roman;sans-serif"/>
          <w:b w:val="false"/>
          <w:color w:val="000000"/>
          <w:sz w:val="18"/>
        </w:rPr>
        <w:t>, respectively, of Wood Products' EWP sales volumes were to our BMD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 analysis of our operations by segment is as follows:</w:t>
      </w:r>
    </w:p>
    <w:tbl>
      <w:tblPr>
        <w:tblW w:w="9014" w:type="dxa"/>
        <w:jc w:val="left"/>
        <w:tblInd w:w="0" w:type="dxa"/>
        <w:tblLayout w:type="fixed"/>
        <w:tblCellMar>
          <w:top w:w="28" w:type="dxa"/>
          <w:left w:w="28" w:type="dxa"/>
          <w:bottom w:w="28" w:type="dxa"/>
          <w:right w:w="28" w:type="dxa"/>
        </w:tblCellMar>
      </w:tblPr>
      <w:tblGrid>
        <w:gridCol w:w="995"/>
        <w:gridCol w:w="873"/>
        <w:gridCol w:w="876"/>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segment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Wood Products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Materials Distribution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1,713,724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1,834,441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5,156,814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5,193,989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income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Wood Products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Materials Distribution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costs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117,356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185,633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397,319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503,210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    Primarily represents intersegment sales from our Wood Products segment to our BMD segment.</w:t>
      </w:r>
    </w:p>
    <w:p>
      <w:pPr>
        <w:pStyle w:val="TextBody"/>
        <w:bidi w:val="0"/>
        <w:spacing w:before="0" w:after="0"/>
        <w:ind w:left="0" w:right="0" w:hanging="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13.    Commitments, Legal Proceedings and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long-term log supply agreements that are discussed in Note 16, Commitments, Legal Proceedings and Contingencies, and Guarantees, of the Notes to Consolidated Financial Statements in "Item 8. Financial Statements and Supplementary Data" in our 2023 Form 10-K. In addition, we have purchase obligations for goods and services, capital expenditures, and raw materials entered into in the normal course of business. As of September 30, 2024, there have been no material changes to the above commitments disclosed in the 2023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legal proceedings that arise in the ordinary course of our business, including commercial liability claims, premises claims, environmental claims, and employment-related claims, among others. As of the date of this filing, we do not believe that we are party to any legal action that could reasonably be expected to have, individually or in the aggregate, a material adverse effect on our financial position,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guarantees, indemnifications, and assurances to others. Note 16, Commitments, Legal Proceedings and Contingencies, and Guarantees, of the Notes to Consolidated Financial Statements in "Item 8. Financial Statements and Supplementary Data" in our 2023 Form 10-K describes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September 30, 2024, there have been no material changes to the guarantees disclosed in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pPr>
      <w:r>
        <w:rPr>
          <w:rFonts w:ascii="Times New Roman;sans-serif" w:hAnsi="Times New Roman;sans-serif"/>
          <w:b/>
          <w:i/>
          <w:color w:val="000000"/>
          <w:sz w:val="22"/>
        </w:rPr>
        <w:t>ITEM 2.    MANAGEMENT'S DISCUSSION AND ANALYSIS OF FINANCIAL CONDITION AND RESULTS OF OPERATIONS</w:t>
      </w:r>
      <w:r>
        <w:rPr>
          <w:color w:val="000000"/>
        </w:rPr>
        <w:t> </w:t>
      </w:r>
    </w:p>
    <w:p>
      <w:pPr>
        <w:pStyle w:val="TextBody"/>
        <w:bidi w:val="0"/>
        <w:spacing w:before="0" w:after="0"/>
        <w:ind w:left="0" w:right="0" w:hanging="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Understanding Our Financial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should be read in conjunction with our consolidated financial statements and related notes in "Item 1. Financial Statements" of this Form 10-Q, as well as our 2023 Form 10-K. The following discussion includes statements regarding our expectations with respect to our future performance, liquidity, and capital resources. Such statements, along with any other non-historical statements in the discussion, are forward-looking. These forward-looking statements include, without limitation, any statement that may predict, indicate, or imply future results, performance, or achievements and may contain the words "may," "will," "expect," "believe," "should," "plan," "anticipate," and other similar expressions. All of these forward-looking statements are based on estimates and assumptions made by our management that, although believed by us to be reasonable, are inherently uncertain. These forward-looking statements are subject to numerous risks and uncertainties, including, but not limited to, the risks and uncertainties described in "Item 1A. Risk Factors" in our 2023 Form 10-K, as well as those factors listed in other documents we file with the Securities and Exchange Commission (the SEC). We do not assume an obligation to update any forward-looking statement. Our future actual results may differ materially from those contained in or implied by any of the forward-looking statements in this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Background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Boise Cascade Company is a building products company headquartered in Boise, Idaho. As used in this Form 10-Q, the terms "Boise Cascade," "we," and "our" refer to Boise Cascade Company and its consolidated subsidiaries. Boise Cascade is a large, integrated wood products manufacturer and building materials distributor. We have two reportable segments: (i) Wood Products, which primarily manufactures engineered wood products (EWP) and plywood; and (ii) Building Materials Distribution (BMD), which is a wholesale distributor of building materials. Our products are used in the construction of new residential housing, including single-family, multi-family, and manufactured homes, the repair-and-remodeling of existing housing, the construction of light industrial and commercial buildings, and industrial applications. For more information, see Note 12, Segment Information, of the Condensed Notes to Unaudited Quarterly Consolidated Financial Statements in "Item 1. Financial Statements"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Executive Overview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recorded income from operations of $117.4 million during the three months ended September 30, 2024, compared with income from operations of $185.6 million during the three months ended September 30, 2023.</w:t>
      </w:r>
      <w:r>
        <w:rPr>
          <w:color w:val="0094FF"/>
        </w:rPr>
        <w:t xml:space="preserve"> </w:t>
      </w:r>
      <w:r>
        <w:rPr>
          <w:rFonts w:ascii="Times New Roman;sans-serif" w:hAnsi="Times New Roman;sans-serif"/>
          <w:b w:val="false"/>
          <w:color w:val="000000"/>
          <w:sz w:val="20"/>
        </w:rPr>
        <w:t>In our Wood Products segment, income decreased $45.7 million to $53.9 million for the three months ended September 30, 2024, from $99.6 million for the three months ended September 30, 2023,</w:t>
      </w:r>
      <w:r>
        <w:rPr>
          <w:color w:val="0094FF"/>
        </w:rPr>
        <w:t xml:space="preserve"> </w:t>
      </w:r>
      <w:r>
        <w:rPr>
          <w:rFonts w:ascii="Times New Roman;sans-serif" w:hAnsi="Times New Roman;sans-serif"/>
          <w:b w:val="false"/>
          <w:color w:val="000000"/>
          <w:sz w:val="20"/>
        </w:rPr>
        <w:t>due primarily to lower EWP and plywood sales prices, as well as higher conversion costs. In addition, lower I-joist sales volumes also contributed to the decrease in segment income. In our BMD segment, income decreased $22.3 million to $74.8 million for the three months ended September 30, 2024, from $97.1 million for the three months ended September 30, 2023,</w:t>
      </w:r>
      <w:r>
        <w:rPr>
          <w:color w:val="0094FF"/>
        </w:rPr>
        <w:t xml:space="preserve"> </w:t>
      </w:r>
      <w:r>
        <w:rPr>
          <w:rFonts w:ascii="Times New Roman;sans-serif" w:hAnsi="Times New Roman;sans-serif"/>
          <w:b w:val="false"/>
          <w:color w:val="000000"/>
          <w:sz w:val="20"/>
        </w:rPr>
        <w:t>driven by increased selling and distribution expenses and depreciation and amortization expense of $10.0 million and $5.1 million, respectively.</w:t>
      </w:r>
      <w:r>
        <w:rPr>
          <w:color w:val="0094FF"/>
        </w:rPr>
        <w:t xml:space="preserve"> </w:t>
      </w:r>
      <w:r>
        <w:rPr>
          <w:rFonts w:ascii="Times New Roman;sans-serif" w:hAnsi="Times New Roman;sans-serif"/>
          <w:b w:val="false"/>
          <w:color w:val="000000"/>
          <w:sz w:val="20"/>
        </w:rPr>
        <w:t>In addition, gross margin decreased $7.7 million, driven by lower margins on commodity products and EWP, offset partially by improved margins on general line products. These changes are discussed further in "Our Operating Results"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ended third quarter 2024 with $761.6 million of cash and cash equivalents and $395.7 million of undrawn committed bank line availability, for total available liquidity of $1,157.3 million. We had $450.0 million of outstanding debt at September 30, 2024. We used $188.0 million of cash during the nine months ended September 30, 2024, as cash provided by operations was offset by capital spending, dividends paid on our common stock, and treasury stock purchases. A further description of our cash sources and uses for the nine-month comparative periods are discussed in "Liquidity and Capital Resources"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the products we manufacture, as well as the products we purchase and distribute, is correlated with new residential construction, residential repair-and-remodeling activity, and light commercial construction. Residential construction, particularly new single-family construction, is the key demand driver for the products we manufacture and distribute. As reported by the U.S. Census Bureau, housing starts were 1.42 million in 2023. Current industry forecasts for U.S. housing starts are approximately 1.35 million in 2024 followed by 2025 starts at or modestly above 1.40 million. For the nine months ended September 2024, single-family starts are outpacing 2023 levels by 10% whereas multi-family starts have declined sharply from historic levels due to increased capital costs for developers, combined with historic levels of multi-family unit completions in 2024. Home affordability remains a challenge for many consumers due to home prices and the cost of financing, with the level of mortgage rates also limiting the supply of existing housing stock available for sale. Large homebuilders are addressing affordability challenges by reducing home sizes and plan complexity, as well as offering mortgage rate buydowns. New residential construction will continue to be an important source of supply for the demand created by undersupplied housing, favorable demographic trends, and low unemployment. We expect 2025 to reflect modest growth in home improvement spending, as the age of U.S. housing stock and elevated levels of homeowner equity will continue to provide a favorable backdrop for repair-and-remodel spending. Ultimately, macroeconomic factors, the level and expectations for mortgage rates, home affordability, home equity levels, home size, and other factors will influence the near-term demand environment for the products we manufacture and distribute.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manufacturer of certain commodity products, we have sales and profitability exposure to declines in commodity product prices and rising input costs. Our distribution business purchases and resells a broad mix of products with periods of increasing prices providing the opportunity for higher sales and increased margins, while declining price environments expose us to declines in sales and profitability. Future product pricing, particularly commodity products pricing and input costs, may be volatile in response to economic uncertainties, industry operating rates, supply-related disruptions, transportation constraints or disruptions, net import and export activity, inventory levels in various distribution channels, and seasonal demand patterns.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Factors That Affect Our Operating Results and Trends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results of operations and financial performance are influenced by a variety of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commodity nature of a portion of our products and their price movements, which are driven largely by industry capacity and operating rates, industry cycles that affect supply and demand, and net import and export activity;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general economic conditions, including but not limited to housing starts, repair-and-remodeling activity, light commercial construction, inventory levels of new and existing homes for sale, foreclosure rates, interest rates, inflation, unemployment rates, household formation rates, prospective home buyers' access to and cost of financing, and housing affordability, that ultimately affect demand for our products;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highly competitive nature of our industry;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declines in demand for our products due to competing technologies or materials, as well as changes in building code provisions;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to information systems used to process and store customer, employee, and vendor information, as well as the technology that manages our operations and other business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material disruptions and/or major equipment failure at our manufacturing facilities;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declining demand for residual byproducts, particularly wood chips generated in our manufacturing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labor disruptions, shortages of skilled and technical labor, or increased labor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need to successfully formulate and implement succession plans for key members of our management team;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shortages, loss of key suppliers, and our dependence on third-party suppliers and manufacturers;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cost and availability of third-party transportation services used to deliver the goods we manufacture and distribute, as well as our raw materials;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and availability of raw materials, including wood fiber and glues and resins;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execute our organic growth and acquisition strategies efficiently and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failures or delays with new or existing technology systems and software platforms;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pursue our long-term growth strategy related to innovation and digital technology;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concentration of our sales among a relatively small group of customers, as well as the financial condition and creditworthiness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of our long-lived assets, goodwill, and/or intangible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 ongoing capital investment costs, including those associated with organic growth and acquisitions, and the difficulty in offsetting fixed costs related to those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indebtedness, including the possibility that we may not generate sufficient cash flows from operations or that future borrowings may not be available in amounts sufficient to fulfill our debt obligations and fund other liquidity needs;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restrictive covenants contained in our debt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compliance with data privacy and security laws and regulations;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impacts of climate change and related legislative and regulatory responses intended to reduce climate change;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of compliance with government regulations, in particular, environmental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exposure to product liability, product warranty, casualty, construction defect, and other claims;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the market for our equity;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other factors described in "Item 1A. Risk Factors"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in dollars and as a percentage of sales for the three and nine months ended September 30, 2024 and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9"/>
        <w:gridCol w:w="1237"/>
        <w:gridCol w:w="1250"/>
        <w:gridCol w:w="211"/>
        <w:gridCol w:w="766"/>
        <w:gridCol w:w="301"/>
        <w:gridCol w:w="109"/>
        <w:gridCol w:w="109"/>
        <w:gridCol w:w="109"/>
        <w:gridCol w:w="211"/>
        <w:gridCol w:w="766"/>
        <w:gridCol w:w="301"/>
        <w:gridCol w:w="109"/>
        <w:gridCol w:w="109"/>
        <w:gridCol w:w="109"/>
        <w:gridCol w:w="211"/>
        <w:gridCol w:w="766"/>
        <w:gridCol w:w="301"/>
        <w:gridCol w:w="109"/>
        <w:gridCol w:w="109"/>
        <w:gridCol w:w="109"/>
        <w:gridCol w:w="211"/>
        <w:gridCol w:w="766"/>
        <w:gridCol w:w="347"/>
      </w:tblGrid>
      <w:tr>
        <w:trPr/>
        <w:tc>
          <w:tcPr>
            <w:tcW w:w="157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labor, and other operating expenses (excluding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distribution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397.3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503.2</w:t>
            </w: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3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sales)</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labor, and other operating expenses (excluding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distribution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Sales Volumes and Prices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are historical U.S. housing starts data, segment sales volumes and average net selling prices for the principal products sold by our Wood Products segment, and sales mix and gross margin information for our BMD segment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234"/>
        <w:gridCol w:w="1024"/>
        <w:gridCol w:w="1028"/>
        <w:gridCol w:w="211"/>
        <w:gridCol w:w="991"/>
        <w:gridCol w:w="271"/>
        <w:gridCol w:w="109"/>
        <w:gridCol w:w="109"/>
        <w:gridCol w:w="109"/>
        <w:gridCol w:w="211"/>
        <w:gridCol w:w="991"/>
        <w:gridCol w:w="271"/>
        <w:gridCol w:w="109"/>
        <w:gridCol w:w="109"/>
        <w:gridCol w:w="109"/>
        <w:gridCol w:w="211"/>
        <w:gridCol w:w="991"/>
        <w:gridCol w:w="271"/>
        <w:gridCol w:w="109"/>
        <w:gridCol w:w="109"/>
        <w:gridCol w:w="109"/>
        <w:gridCol w:w="211"/>
        <w:gridCol w:w="991"/>
        <w:gridCol w:w="317"/>
      </w:tblGrid>
      <w:tr>
        <w:trPr/>
        <w:tc>
          <w:tcPr>
            <w:tcW w:w="123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Housing Starts (a)</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1,043.2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1,079.5</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1,482,926 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Materials Distribution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4,686,076 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(975,013)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1,713,724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1,834,441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5,156,814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5,193,989</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Wood Products</w:t>
            </w:r>
          </w:p>
        </w:tc>
        <w:tc>
          <w:tcPr>
            <w:tcW w:w="691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(millions)</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Volumes</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Laminated veneer lumber (LVL) (cubic feet)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I-joists (equivalent lineal feet)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Plywood (sq. ft.) (3/8" basis)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Wood Products</w:t>
            </w:r>
          </w:p>
        </w:tc>
        <w:tc>
          <w:tcPr>
            <w:tcW w:w="691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per unit)</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Net Selling Prices</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Laminated veneer lumber (LVL) (cubic foot)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I-joists (1,000 equivalent lineal feet)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Plywood (1,000 sq. ft.) (3/8" basis)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BMD sales)</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Building Materials Distribution</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Line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line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wood products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percentage (b)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    Actual U.S. housing starts data reported by the U.S. Census Bureau.</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    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2024, total sales decreased $120.7 million, or 7%, to $1,713.7 million from $1,834.4 million during the three months ended September 30, 2023. For the nine months ended September 30, 2024, total sales decreased $37.2 million, or 1%, to $5,156.8 million from $5,194.0 million for the same period in the prior year. As described below, the change in sales was driven by the changes in sales prices and volumes for the products we manufacture and distribute with single-family residential construction activity being the key demand driver of our sales. In third quarter 2024, total U.S. housing starts and single-family housing starts decreased 3% and 1%, respectively, compared with the same period in 2023. On a year-to-date basis through September 2024, total housing starts decreased 3%, while single-family housing starts increased 10%, compared with the same period in 2023. Average composite panel prices for the three and nine months ended September 30, 2024 were 19% lower and 4% higher, respectively, than in the same period in the prior year, as reflected by Random Lengths composite panel pricing. Average composite lumber prices for the three and nine months ended September 30, 2024 were 13% and 7% lower, respectively, than in the same period in the prior year, as reflected by Random Lengths composite lumber pricing.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Wood Products.</w:t>
      </w:r>
      <w:r>
        <w:rPr>
          <w:color w:val="000000"/>
        </w:rPr>
        <w:t xml:space="preserve">  </w:t>
      </w:r>
      <w:r>
        <w:rPr>
          <w:rFonts w:ascii="Times New Roman;sans-serif" w:hAnsi="Times New Roman;sans-serif"/>
          <w:b w:val="false"/>
          <w:color w:val="000000"/>
          <w:sz w:val="20"/>
        </w:rPr>
        <w:t>Sales, including sales to our BMD segment, decreased $61.3 million, or 12%, to $453.9 million for the three months ended September 30, 2024, from $515.2 million for the three months ended September 30, 2023. The decrease in sales was driven by lower plywood sales prices of 13% resulting in decreased sales of $19.2 million, and lower sales prices for LVL and I-joists (collectively referred to as EWP) of 5% and 6%, respectively, resulting in decreased sales of $7.2 million and $6.7 million, respectively. Sales volumes for I-joists decreased 8% resulting in decreased sales of $10.7 million, while sales volumes for LVL and plywood were flat. I-joist sales volumes are influenced by multiple factors, including the level of housing starts, competition from other wood-based products, and an increasing proportion of concrete floor applications that limit wood floor opportunity. In addition, other sales, including lumber and residual byproducts, decreased $9.8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sales, including sales to our BMD segment, decreased $70.3 million, or 5%, to $1,412.6 million from $1,482.9 million for the same period in the prior year. The decrease in sales was driven by lower sales prices of 6% for both LVL and I-joists, resulting in decreased sales of $27.8 million and $21.8 million, respectively. Plywood sales volumes and sales prices decreased 7% and 4%, respectively, resulting in decreased sales of $33.4 million and $16.1 million, respectively. Plywood sales volumes decreased as we shifted a higher proportion of our internally produced veneer into EWP production, given the change in demand for EWP. In addition, other sales, including lumber and residual byproducts, decreased $38.6 million. These decreases were partially offset by higher sales volumes for LVL and I-joists of 12% and 9%, respectively, resulting in increased sales of $46.2 million and $32.3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Building Materials Distribution.</w:t>
      </w:r>
      <w:r>
        <w:rPr>
          <w:color w:val="000000"/>
        </w:rPr>
        <w:t xml:space="preserve">  </w:t>
      </w:r>
      <w:r>
        <w:rPr>
          <w:rFonts w:ascii="Times New Roman;sans-serif" w:hAnsi="Times New Roman;sans-serif"/>
          <w:b w:val="false"/>
          <w:color w:val="000000"/>
          <w:sz w:val="20"/>
        </w:rPr>
        <w:t>Sales decreased</w:t>
      </w:r>
      <w:r>
        <w:rPr>
          <w:color w:val="000000"/>
        </w:rPr>
        <w:t xml:space="preserve"> </w:t>
      </w:r>
      <w:r>
        <w:rPr>
          <w:rFonts w:ascii="Times New Roman;sans-serif" w:hAnsi="Times New Roman;sans-serif"/>
          <w:b w:val="false"/>
          <w:color w:val="000000"/>
          <w:sz w:val="20"/>
        </w:rPr>
        <w:t>$102.8 million, or 6%, to $1,567.5 million for the three months ended September 30, 2024, from $1,670.3 million for the three months ended September 30, 2023. Compared with the same quarter in the prior year, the overall decrease in sales was driven by a sales price decrease of 6%, as sales volumes were flat. Excluding the impact of the BROSCO acquisition on October 2, 2023, sales would have decreased by 9%. By product line, commodity sales decreased 12%, or $76.2 million; general line product sales increased 4%, or $27.1 million; and EWP sales (substantially all of which are sourced through our Wood Products segment) decreased 14%, or $53.7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sales increased $41.6 million, or 1%, to $4,727.7 million from $4,686.1 million for the same period in the prior year. The overall increase in sales was driven by a sales volume increase of 4%, offset partially by a sales price decrease of 3%. Excluding the impact of the BROSCO acquisition, sales would have decreased by 2%. By product line, commodity sales decreased 6%, or $105.5 million; general line product sales increased 9%, or $165.4 million; and sales of EWP decreased 2%, or $18.3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Materials, labor, and other operating expenses (excluding depreciation) decreased $66.5 million, or 5%, to $1,375.7 million for the three months ended September 30, 2024, compared with $1,442.2 million during the same period in the prior year. In our Wood Products segment, materials, labor, and other operating expenses decreased due to lower sales volumes, offset partially by increased labor costs, compared with third quarter 2023. However, materials, labor, and other operating expenses as a percentage of sales (MLO rate) in our Wood Products segment increased by 650 basis points, primarily as the result of lower EWP and plywood sales prices. In BMD, the decrease in materials, labor, and other operating expenses compared with third quarter 2023 was driven by lower purchased materials costs as a result of a decrease in product prices. The BMD segment MLO rate decreased 50 basis points, driven by higher margin percentages on general line products, offset partially by lower margins on commodity and EWP products.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For the nine months ended September 30, 2024, materials, labor, and other operating expenses (excluding depreciation) increased $24.6 million, or 1%, to $4,123.8 million, compared with $4,099.2 million in the same period in the prior year.</w:t>
      </w:r>
      <w:r>
        <w:rPr>
          <w:color w:val="0094FF"/>
        </w:rPr>
        <w:t xml:space="preserve"> </w:t>
      </w:r>
      <w:r>
        <w:rPr>
          <w:rFonts w:ascii="Times New Roman;sans-serif" w:hAnsi="Times New Roman;sans-serif"/>
          <w:b w:val="false"/>
          <w:color w:val="000000"/>
          <w:sz w:val="20"/>
        </w:rPr>
        <w:t>In our Wood Products segment, materials, labor, and other operating expenses increased due to higher EWP sales volumes and higher costs of OSB (used in the manufacture of I-joists), compared with the first nine months of 2023.</w:t>
      </w:r>
      <w:r>
        <w:rPr>
          <w:color w:val="0094FF"/>
        </w:rPr>
        <w:t xml:space="preserve"> </w:t>
      </w:r>
      <w:r>
        <w:rPr>
          <w:rFonts w:ascii="Times New Roman;sans-serif" w:hAnsi="Times New Roman;sans-serif"/>
          <w:b w:val="false"/>
          <w:color w:val="000000"/>
          <w:sz w:val="20"/>
        </w:rPr>
        <w:t>Labor costs were also higher compared with the same period in the prior year. The MLO rate in our Wood Products segment increased by 410 basis points, due primarily to lower EWP and plywood sales prices.</w:t>
      </w:r>
      <w:r>
        <w:rPr>
          <w:color w:val="0094FF"/>
        </w:rPr>
        <w:t xml:space="preserve"> </w:t>
      </w:r>
      <w:r>
        <w:rPr>
          <w:rFonts w:ascii="Times New Roman;sans-serif" w:hAnsi="Times New Roman;sans-serif"/>
          <w:b w:val="false"/>
          <w:color w:val="000000"/>
          <w:sz w:val="20"/>
        </w:rPr>
        <w:t>In BMD, the increase in materials, labor, and other operating expenses compared with the first nine months of 2023 was driven by higher purchased materials costs due primarily to the BROSCO acquisition. However, the BMD segment MLO rate decreased 20 basis points, driven by higher margin percentages on our general line sales, offset by lower margins on our EWP sales compared with the first nine months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$5.4 million, or 17%, to $36.9 million for the three months ended September 30, 2024, compared with $31.5 million during the same period in the prior year. For the nine months ended September 30, 2024, depreciation and amortization expense increased $13.7 million, or 15%, to $107.1 million, compared with $93.4 million in the same period in the prior year. The increase in both periods was due to the BROSCO acquisition and other capital expenditures. For the nine months ended September 30, 2024, the increase was also due to $2.2 million of accelerated depreciation recorded in first quarter 2024 for the indefinite curtailment of lumber production at our Chapman, Alabama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distribution expenses, inclusive of the BROSCO acquisition, increased $9.8 million, or 7%, to $157.5 million for the three months ended September 30, 2024, compared with $147.7 million during the same period in the prior year. The increase was due primarily to higher employee-related expense of $8.1 million, offset partially by decreased incentive compensation expense of $2.1 million. In addition, costs related to professional fees and shipping and handling increased $1.3 million. For the nine months ended September 30, 2024, selling and distribution expenses increased $35.7 million, or 9%, to $451.4 million, compared with $415.7 million during the same period in 2023. The increase was due primarily to higher employee-related expenses of $20.9 million, offset partially by decreased incentive compensation expense of $2.7 million. Shipping and handling and occupancy costs increased $2.7 million and $2.6 million, respectively. In addition, costs related to professional fees, travel and entertainment, and advertising increased $4.8 million.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General and administrative expenses decreased $1.4 million, or 5%, to $26.2 million for the three months ended September 30, 2024, compared with $27.6 million for the same period in the prior year. For the nine months ended September 30, 2024, general and administrative expenses decreased $7.0 million, or 8%, to $77.2 million, compared with $84.2 million during the same period in 2023. The decrease in both periods was primarily the result of lower incentive compensation and professional fees, offset partially by an increase in other employee-related expenses.</w:t>
      </w:r>
      <w:r>
        <w:rPr>
          <w:color w:val="FF009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From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decreased $68.3 million to $117.4 million for the three months ended September 30, 2024, compared with $185.6 million for the three months ended September 30, 2023. Income from operations decreased $105.9 million to $397.3 million for the nine months ended September 30, 2024, compared with $503.2 million for the nine months ended September 30,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Wood Products. </w:t>
      </w:r>
      <w:r>
        <w:rPr>
          <w:color w:val="000000"/>
        </w:rPr>
        <w:t xml:space="preserve"> </w:t>
      </w:r>
      <w:r>
        <w:rPr>
          <w:rFonts w:ascii="Times New Roman;sans-serif" w:hAnsi="Times New Roman;sans-serif"/>
          <w:b w:val="false"/>
          <w:color w:val="000000"/>
          <w:sz w:val="20"/>
        </w:rPr>
        <w:t>Segment income decreased $45.7 million to $53.9 million for the three months ended September 30, 2024, compared with $99.6 million for the three months ended September 30, 2023. The decrease in segment income was due primarily to lower EWP and plywood sales prices, as well as higher conversion costs</w:t>
      </w:r>
      <w:r>
        <w:rPr>
          <w:rFonts w:ascii="Times New Roman;sans-serif" w:hAnsi="Times New Roman;sans-serif"/>
          <w:b w:val="false"/>
          <w:color w:val="0094FF"/>
          <w:sz w:val="20"/>
        </w:rPr>
        <w:t xml:space="preserve">. </w:t>
      </w:r>
      <w:r>
        <w:rPr>
          <w:rFonts w:ascii="Times New Roman;sans-serif" w:hAnsi="Times New Roman;sans-serif"/>
          <w:b w:val="false"/>
          <w:color w:val="000000"/>
          <w:sz w:val="20"/>
        </w:rPr>
        <w:t>In addition, lower I-joist sales volumes also contributed to the decrease in segment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For the nine months ended September 30, 2024, segment income decreased $75.1 million to $197.9 million from $273.0 million for the nine months ended September 30, 2023. The decrease in segment income was due primarily to lower EWP and plywood sales prices, as well as higher wood fiber and conversion costs.</w:t>
      </w:r>
      <w:r>
        <w:rPr>
          <w:color w:val="0094FF"/>
        </w:rPr>
        <w:t xml:space="preserve"> </w:t>
      </w:r>
      <w:r>
        <w:rPr>
          <w:rFonts w:ascii="Times New Roman;sans-serif" w:hAnsi="Times New Roman;sans-serif"/>
          <w:b w:val="false"/>
          <w:color w:val="000000"/>
          <w:sz w:val="20"/>
        </w:rPr>
        <w:t>These decreases in segment income were offset partially by higher EWP sales volumes.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Building Materials Distribution.</w:t>
      </w:r>
      <w:r>
        <w:rPr>
          <w:color w:val="000000"/>
        </w:rPr>
        <w:t xml:space="preserve">  </w:t>
      </w:r>
      <w:r>
        <w:rPr>
          <w:rFonts w:ascii="Times New Roman;sans-serif" w:hAnsi="Times New Roman;sans-serif"/>
          <w:b w:val="false"/>
          <w:color w:val="000000"/>
          <w:sz w:val="20"/>
        </w:rPr>
        <w:t xml:space="preserve">Segment income decreased $22.3 million to $74.8 million for the three months ended September 30, 2024, from $97.1 million for the three months ended September 30, 2023. The decrease in segment income was driven by increased selling and distribution expenses and depreciation and amortization expense of $10.0 million and $5.1 million, respectively. In addition, gross margin decreased $7.7 million, driven by lower margins on commodity products and EWP, offset partially by improved margins on general line products.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For the nine months ended September 30, 2024, segment income decreased $32.6 million to $232.7 million from $265.3 million for the nine months ended September 30, 2023. The decline in segment income was driven by increased selling and distribution expenses and depreciation and amortization expense of $37.4 million and $13.5 million, respectively. These decreases in segment income were offset partially by a gross margin increase of $15.4 million, resulting primarily from improved gross margins on general line products, offset partially by lower gross margins on EWP and commodity products.</w:t>
      </w:r>
      <w:r>
        <w:rPr>
          <w:color w:val="0094FF"/>
        </w:rPr>
        <w:t xml:space="preserve"> </w:t>
      </w:r>
      <w:r>
        <w:rPr>
          <w:rFonts w:ascii="Times New Roman;sans-serif" w:hAnsi="Times New Roman;sans-serif"/>
          <w:b w:val="false"/>
          <w:color w:val="000000"/>
          <w:sz w:val="20"/>
        </w:rPr>
        <w:t>In addition, general and administrative expenses decreased $3.1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Corporate.</w:t>
      </w:r>
      <w:r>
        <w:rPr>
          <w:color w:val="000000"/>
        </w:rPr>
        <w:t xml:space="preserve">  </w:t>
      </w:r>
      <w:r>
        <w:rPr>
          <w:rFonts w:ascii="Times New Roman;sans-serif" w:hAnsi="Times New Roman;sans-serif"/>
          <w:b w:val="false"/>
          <w:color w:val="000000"/>
          <w:sz w:val="20"/>
        </w:rPr>
        <w:t>Unallocated corporate expenses increased $0.3 million to $11.3 million for the three months ended September 30, 2024, from $11.0 million for the same period in the prior year.</w:t>
      </w:r>
      <w:r>
        <w:rPr>
          <w:color w:val="0094FF"/>
        </w:rPr>
        <w:t xml:space="preserve"> </w:t>
      </w:r>
      <w:r>
        <w:rPr>
          <w:rFonts w:ascii="Times New Roman;sans-serif" w:hAnsi="Times New Roman;sans-serif"/>
          <w:b w:val="false"/>
          <w:color w:val="000000"/>
          <w:sz w:val="20"/>
        </w:rPr>
        <w:t xml:space="preserve">For the nine months ended September 30, 2024, unallocated corporate expenses decreased $1.9 million to $33.2 million from $35.1 million for the nine months ended September 30, 2023. The decrease was due primarily to lower incentive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 xml:space="preserve">Interest income decreased $3.6 million to $10.2 million for the three months ended September 30, 2024, from $13.8 million for the same period in the prior year. For the nine months ended September 30, 2024, interest income decreased $3.7 million to $31.3 million from $35.0 million for the nine months ended September 30, 2023. The decrease in both periods was due primarily to lower average balances of cash equivalents.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Change in fair value of interest rate swaps. </w:t>
      </w:r>
      <w:r>
        <w:rPr>
          <w:rFonts w:ascii="Times New Roman;sans-serif" w:hAnsi="Times New Roman;sans-serif"/>
          <w:b w:val="false"/>
          <w:color w:val="000000"/>
          <w:sz w:val="20"/>
        </w:rPr>
        <w:t>For information related to our interest rate swap, see the discussion under "Interest Rate Risk and Interest Rate Swap" of Note 2, Summary of Significant Accounting Policies, of the Condensed Notes to Unaudited Quarterly Consolidated Financial Statements in "Item 1. Financial Statements" of this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we recorded $29.8 million and $101.1 million, respectively, of income tax expense and had an effective rate of 24.7% and 24.8%, respectively. For the three and nine months ended September 30, 2023, we recorded $49.0 million and $131.7 million, respectively, of income tax expense and had an effective rate of 25.5% and 25.4%, respectively. For all periods, the primary reason for the difference between the federal statutory income tax rate of 21% and the effective tax rate was the effect of state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ended third quarter 2024 with $761.6 million of cash and cash equivalents and $450.0 million of debt. At September 30, 2024, we had $1,157.3 million of available liquidity (cash and cash equivalents and undrawn committed bank line availability). Our cash and cash equivalents decreased by $188.0 million during the nine months ended September 30, 2024, as cash provided by operations was offset by capital spending, dividends paid on our common stock, and treasury stock purchases. Further descriptions of our cash sources and uses for the nine-month comparative periods are noted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flows from operations, combined with our current cash levels and available borrowing capacity, will be adequate to fund debt service requirements and provide cash, as required, to support our ongoing operations, capital expenditures, lease obligations, working capital, income tax payments, and to pay cash dividends to holders of our common stock over the next 12 months. We expect to fund our seasonal and intra-month working capital requirements in the remainder of 2024 from cash on hand and, if necessary, borrowings under our revolving credit facility.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cash primarily from sales of our products, as well as short-term and long-term borrowings. Our primary uses of cash are for expenses related to the manufacture and distribution of building products, including inventory purchased for resale, wood fiber, labor, energy, and glues and resins. In addition to paying for ongoing operating costs, we use cash to invest in our business, service our debt and lease obligations, and return cash to our shareholders through dividends or common stock repurchases. Below is a discussion of our sources and uses of cash for operating activities, investing activities, and financing activities.</w:t>
      </w:r>
    </w:p>
    <w:tbl>
      <w:tblPr>
        <w:tblW w:w="5409" w:type="dxa"/>
        <w:jc w:val="left"/>
        <w:tblInd w:w="0" w:type="dxa"/>
        <w:tblLayout w:type="fixed"/>
        <w:tblCellMar>
          <w:top w:w="28" w:type="dxa"/>
          <w:left w:w="28" w:type="dxa"/>
          <w:bottom w:w="28" w:type="dxa"/>
          <w:right w:w="28" w:type="dxa"/>
        </w:tblCellMar>
      </w:tblPr>
      <w:tblGrid>
        <w:gridCol w:w="993"/>
        <w:gridCol w:w="875"/>
        <w:gridCol w:w="877"/>
        <w:gridCol w:w="211"/>
        <w:gridCol w:w="826"/>
        <w:gridCol w:w="109"/>
        <w:gridCol w:w="109"/>
        <w:gridCol w:w="109"/>
        <w:gridCol w:w="109"/>
        <w:gridCol w:w="211"/>
        <w:gridCol w:w="82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For the nine months ended September 30, 2024, our operating activities generated $343.8 million of cash, compared with $521.1 million of cash generated in the same period in 2023. The $177.4 million decrease in cash provided by operations was due primarily to an increase in working capital, as well as a decrease in income from operations, offset partially by a $13.7 million decrease in cash paid for taxes, net of refunds, compared to the same period in 2023. Working capital increased $94.1 million during the nine months ended September 30, 2024, compared with a $1.1 million decrease for the same period in the prior year.</w:t>
      </w:r>
      <w:r>
        <w:rPr>
          <w:color w:val="0094FF"/>
        </w:rPr>
        <w:t xml:space="preserve"> </w:t>
      </w:r>
      <w:r>
        <w:rPr>
          <w:rFonts w:ascii="Times New Roman;sans-serif" w:hAnsi="Times New Roman;sans-serif"/>
          <w:b w:val="false"/>
          <w:color w:val="000000"/>
          <w:sz w:val="20"/>
        </w:rPr>
        <w:t>See "Our Operating Results" in this Management's Discussion and Analysis of Financial Condition and Results of Operations for more information related to factors affecting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working capital during the nine months ended September 30, 2024 was primarily attributable to higher inventories and receivables, offset by an increase in accounts payable and accrued liabilities. The decrease in working capital during the nine months ended September 30, 2023 was primarily attributable to an increase in accounts payable and decreased inventories, offset partially by higher receivables. The increase in receivables in both periods primarily reflect increased sales of approximately 9% and 30%, comparing sales for the months of September 2024 and 2023 with sales for the months of December 2023 and 2022, respectively. During the nine months ended September 30, 2024 inventories increased in preparation and response to the building season. During the nine months ended September 30, 2023 inventories decreased in our Wood Products segment due to improved demand compared to fourth quarter 2022. However, our BMD segment inventories increased during the nine months ended September 30, 2023 due to seasonal building, steady housing demand, and location expansions. During the nine months ended September 30, 2024, the increase in accounts payable and accrued liabilities was primarily related to the increase in inventories, offset partially by employee incentive compensation payouts made during the period. The increase in accounts payable during the nine months ended September 30, 2023 was related to increased purchasing in response to improved demand compared to fourth quarter 2022 and extended terms offered by certain BMD vendors.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Investment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During the nine months ended September 30, 2024 and 2023, we used $135.8 million and $99.3 million, respectively, of cash for purchases of property and equipment, including business improvement and quality/efficiency projects, replacement and expansion projects, and ongoing environmental compliance. During the nine months ended September 30, 2024, we also used $5.6 million of cash for acquisitions of businesses and facilities, which consisted of $3.4 million for post-transaction closing adjustments related to the BROSCO acquisition, as well as $2.2 million for acquired assets of a door and millwork operation in Boise, Idaho.</w:t>
      </w:r>
      <w:r>
        <w:rPr>
          <w:color w:val="0094FF"/>
        </w:rPr>
        <w:t xml:space="preserve"> </w:t>
      </w:r>
      <w:r>
        <w:rPr>
          <w:rFonts w:ascii="Times New Roman;sans-serif" w:hAnsi="Times New Roman;sans-serif"/>
          <w:b w:val="false"/>
          <w:color w:val="000000"/>
          <w:sz w:val="20"/>
        </w:rPr>
        <w:t>For further discussion on these acquisitions, see Note 5, Acquisitions, of the Condensed Notes to Unaudited Quarterly Consolidated Financial Statements in "Item 1. Financial Statements" of this Form 10-Q. During the nine months ended September 30, 2023, we received $1.0 million of earn-out income related to a previous asset sale in our Wood Products segment.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Excluding potential acquisitions, we expect capital expenditures in 2024 to total approximately $220 million to $240 million. We expect our capital spending, excluding acquisitions, to be approximately $200 million to $220 million in 2025. Capital spending in 2024 and 2025 will be for business improvement and quality/efficiency projects, replacement and expansion projects, and ongoing environmental compliance. In addition, our 2024 capital expenditures range includes spending on previously announced projects to convert a plywood layup line to a parallel laminated veneer line at our Chapman, Alabama plywood facility, as well as add I-joist production capabilities at our Thorsby, Alabama EWP mill which will be completed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At our Oakdale, Louisiana facility, multiple investment projects are underway and planned for 2025 which include upgrade and redesign of the log utilization center, a new veneer dryer and press, and modification of an existing veneer dryer. Our 2024 and 2025 capital expenditures range also includes spending on the previously announced greenfield distribution centers in Texas and South Carolina in our BMD segment. These levels of capital expenditures could increase or decrease as a result of several factors, including acquisitions, efforts to further accelerate organic growth, exercise of lease purchase options, our financial results, future economic conditions, availability of engineering and construction resources, and timing and availability of equipment 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our financing activities used $391.6 million of cash, including $220.5 million in common stock dividend payments, $158.5 million for the repurchase of 1,232,345 shares of our common stock, and $11.1 million of tax withholding payments on stock-based awards. During the nine months ended September 30, 2024, we did not borrow under our revolving credit facility and therefore have no borrowings outstanding on the facility as of September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our financing activities used $149.7 million of cash, including $140.9 million in common stock dividend payments, $5.9 million of tax withholding payments on stock-based awards, and $1.5 million for the repurchase of 25,678 shares of our common stock. During the nine months ended September 30, 2023, we did not borrow under our 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dividend declarations, including amount per share, record date and payment date, will be made at the discretion of our board of directors and will depend upon, among other things, legal capital requirements and surplus, our future operations and earnings, general financial condition, material cash requirements, restrictions imposed by our asset-based credit facility and the indenture governing our senior notes, applicable laws, and other factors that our board of directors may deem relevant.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related to our debt transactions and structure, our dividend policy, and our stock repurchase program, see the discussion in Note 7, Debt, and Note 10, Stockholders' Equity, respectively, of the Condensed Notes to Unaudited Quarterly Consolidated Financial Statements in "Item 1. Financial Statements" of this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Material Cash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about other material cash requirements, see Liquidity and Capital Resources in "Item 7. Management's Discussion and Analysis of Financial Condition and Results of Operations" in our 2023 Form 10-K. As of September 30, 2024, there have been no material changes in other material cash requirements outside the ordinary course of business since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Note 8, Debt, and Note 16, Commitments, Legal Proceedings and Contingencies, and Guarantees, of the Notes to Consolidated Financial Statements in "Item 8. Financial Statements and Supplementary Data" in our 2023 Form 10-K describe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September 30, 2024, there have been no material changes to the guarantees disclosed in our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Seasonal Influences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fluctuations in quarterly sales volumes and expenses due to seasonal factors. These seasonal factors are common in the building products industry. Seasonal changes in levels of building activity affect our building products businesses, which are dependent on housing starts, repair-and-remodeling activities, and light commercial construction activities. We typically report lower sales volumes in the first and fourth quarters due to the impact of poor weather on the construction market, and we generally have higher sales volumes in the second and third quarters, reflecting an increase in construction due to more favorable weather conditions. We typically have higher working capital in the first and second quarters in preparation and response to the building season. Seasonally cold weather increases costs, especially energy consumption costs, at most of our manufacturing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Employees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27, 2024, we had approximately 7,480 employees. Approximately 18% of these employees work pursuant to collective bargaining agreements. As of October 27, 2024, we had ten collective bargaining agreements. One agreement covering approximately 50 employees at our Woodinville BMD facility expired on May 31, 2024, but the terms and conditions of this agreement remain in effect pending negotiation of a new agreement. One agreement covering approximately 40 employees at our Vancouver BMD facility is set to expire on December 31, 2024, one agreement covering approximately 20 employees at our Billings BMD facility is set to expire on March 31, 2025, and two agreements covering approximately 750 employees at our Oakdale and Florien plywood plants are set to expire on July 15, 2025. The terms and conditions of these agreements will remain in effect after expiration pending negotiation of new agreements. We may not be able to renew these agreements or may renew them on terms that are less favorable to us than the current agreements. If any of these agreements are not renewed or extended upon their termination, we could experience a material labor disruption, strike, or significantly increased labor costs at one or more of our facilities, either in the course of negotiations of a labor agreement or otherwise. Labor disruptions or shortages could prevent us from meeting customer demands or result in increased costs, thereby reducing our sales and profitability.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Disclosures of Financial Market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financial risks such as changes in commodity prices, interest rates, and foreign currency exchange rates. As of September 30, 2024, there have been no material changes to financial market risks disclosed in our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Environmental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have been no material changes to environmental issues disclosed in our 2023 Form 10-K. For additional information, see Environmental in "Item 7. Management's Discussion and Analysis of Financial Condition and Results of Operations" in our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Critical Accounting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that are most important to the portrayal of our financial condition and results. These estimates require management's most difficult, subjective, or complex judgments, often as a result of the need to estimate matters that are inherently uncertain. We review the development, selection, and disclosure of our critical accounting estimates with the Audit Committee of our board of directors. For information about critical accounting estimates, see Critical Accounting Estimates in "Item 7. Management's Discussion and Analysis of Financial Condition and Results of Operations" in our 2023 Form 10-K. At September 30, 2024, there have been no material changes to our critical accounting estimates from those disclosed in our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new and recently adopted accounting standards, see "New and Recently Adopted Accounting Standards" in Note 2, Summary of Significant Accounting Policies, of the Condensed Notes to Unaudited Quarterly Consolidated Financial Statements in "Item 1. Financial Statements" in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2"/>
        </w:rPr>
      </w:pPr>
      <w:r>
        <w:rPr>
          <w:rFonts w:ascii="Times New Roman;sans-serif" w:hAnsi="Times New Roman;sans-serif"/>
          <w:b/>
          <w:i/>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relating to quantitative and qualitative disclosures about market risk, see the discussion under "Item 7A. Quantitative and Qualitative Disclosures About Market Risk" and under the headings "Disclosures of Financial Market Risks" and "Financial Instruments" in "Item 7. Management's Discussion and Analysis of Financial Condition and Results of Operations" in our 2023 Form 10-K. As of September 30, 2024, there have been no material changes in our exposure to market risk from those disclosed in our 2023 Form 10-K.</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pPr>
      <w:r>
        <w:rPr>
          <w:rFonts w:ascii="Times New Roman;sans-serif" w:hAnsi="Times New Roman;sans-serif"/>
          <w:b/>
          <w:i/>
          <w:color w:val="000000"/>
          <w:sz w:val="22"/>
        </w:rPr>
        <w:t>ITEM 4.          CONTROLS AND PROCEDURES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 13a-15(e) under the Exchange Act. We have designed these controls and procedures to reasonably assure that information required to be disclosed in our reports filed or submitted under the Exchange Act, such as this Form 10-Q, is recorded, processed, summarized, and reported within the time periods specified in the Securities and Exchange Commission's rules and forms. We have also designed our disclosure controls to provide reasonable assurance that such information is accumulated and communicated to our senior management, including our chief executive officer (CEO) and our chief financial officer (CFO), as appropriate, to allow them to make timely decisions regarding our required disclosures. Based on their evaluation, our CEO and CFO have concluded that as of September 30, 2024,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legal proceedings that arise in the ordinary course of our business, including commercial liability claims, premises claims, environmental claims, and employment-related claims, among others. As of the date of this filing, we do not believe that we are party to any legal action that could reasonably be expected to have, individually or in the aggregate, a material adverse effect on our financial position, results of operations, or cash flows.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we use a threshold of $1 million or more for purposes of determining whether disclosure of any such proceedings is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on Form 10-Q contains forward-looking statements. Statements that are not historical or current facts, including statements about our expectations, anticipated financial results, projected capital expenditures, and future business prospects, are forward-looking statements. You can identify these statements by our use of words such as "may," "will," "expect," "believe," "should," "plan," "anticipate," and other similar expressions. You can find examples of these statements throughout this report, including "Item 2. Management's Discussion and Analysis of Financial Condition and Results of Operations." We cannot guarantee that our actual results will be consistent with the forward-looking statements we make in this report. You should review carefully the risk factors listed in "Item 1A. Risk Factors" in our 2023 Form 10-K, as well as those factors listed in other documents we file with the Securities and Exchange Commission. We do not assume an obligation to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Purchase of Equity Securities by the Issuer and Affiliated Purchasers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28, 2022, our board of directors authorized the repurchase of an additional 1.5 million shares of our common stock. This increase was in addition to the remaining authorized shares under our prior common stock repurchase program that was authorized on February 25, 2015 (the Program). Share repurchases may be made on an opportunistic basis, through open market transactions, privately negotiated transactions, or by other means in accordance with applicable federal securities laws. During third quarter 2024, we repurchased 554,500 shares under the Program at a cost of $69.7 million, or an average of $125.61 per share. Set forth below is information regarding the Company's share repurchases during the third quarter ended September 30, 2024.</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27"/>
        <w:gridCol w:w="372"/>
        <w:gridCol w:w="376"/>
        <w:gridCol w:w="613"/>
        <w:gridCol w:w="451"/>
        <w:gridCol w:w="453"/>
        <w:gridCol w:w="109"/>
        <w:gridCol w:w="109"/>
        <w:gridCol w:w="109"/>
        <w:gridCol w:w="269"/>
        <w:gridCol w:w="940"/>
        <w:gridCol w:w="139"/>
        <w:gridCol w:w="109"/>
        <w:gridCol w:w="109"/>
        <w:gridCol w:w="109"/>
        <w:gridCol w:w="865"/>
        <w:gridCol w:w="766"/>
        <w:gridCol w:w="768"/>
        <w:gridCol w:w="109"/>
        <w:gridCol w:w="109"/>
        <w:gridCol w:w="109"/>
        <w:gridCol w:w="696"/>
        <w:gridCol w:w="696"/>
        <w:gridCol w:w="993"/>
      </w:tblGrid>
      <w:tr>
        <w:trPr/>
        <w:tc>
          <w:tcPr>
            <w:tcW w:w="8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Number of Shares That May Yet Be Purchased Under the Plans or Programs </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1,153,466</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259,500 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893,966</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688,966</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15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125.61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688,966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ITEM 4.          MINE SAFETY DISCLOSURES</w:t>
      </w:r>
    </w:p>
    <w:p>
      <w:pPr>
        <w:pStyle w:val="TextBody"/>
        <w:bidi w:val="0"/>
        <w:spacing w:before="0" w:after="0"/>
        <w:ind w:left="0" w:right="0" w:hanging="12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rFonts w:ascii="Times New Roman;sans-serif" w:hAnsi="Times New Roman;sans-serif"/>
          <w:b/>
          <w:i/>
          <w:color w:val="000000"/>
          <w:sz w:val="20"/>
        </w:rPr>
      </w:pPr>
      <w:r>
        <w:rPr>
          <w:rFonts w:ascii="Times New Roman;sans-serif" w:hAnsi="Times New Roman;sans-serif"/>
          <w:b/>
          <w:i/>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Boise Cascade's directors or officers adopted, terminated or modified a Rule 10b5-1 trading arrangement or non-Rule 10b5-1 trading arrangement (as such terms are defined in Item 408 of Regulation S-K of the Securities Act of 1933).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ITEM 6.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5"/>
        <w:gridCol w:w="109"/>
        <w:gridCol w:w="109"/>
        <w:gridCol w:w="109"/>
        <w:gridCol w:w="2630"/>
        <w:gridCol w:w="2630"/>
        <w:gridCol w:w="3758"/>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9302024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9302024ex311.htm">
              <w:r>
                <w:rPr>
                  <w:rStyle w:val="InternetLink"/>
                  <w:rFonts w:ascii="Times New Roman;sans-serif" w:hAnsi="Times New Roman;sans-serif"/>
                  <w:b w:val="false"/>
                  <w:color w:val="0000FF"/>
                  <w:sz w:val="20"/>
                  <w:u w:val="single"/>
                </w:rPr>
                <w:t>CEO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9302024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9302024ex312.htm">
              <w:r>
                <w:rPr>
                  <w:rStyle w:val="InternetLink"/>
                  <w:rFonts w:ascii="Times New Roman;sans-serif" w:hAnsi="Times New Roman;sans-serif"/>
                  <w:b w:val="false"/>
                  <w:color w:val="0000FF"/>
                  <w:sz w:val="20"/>
                  <w:u w:val="single"/>
                </w:rPr>
                <w:t>CFO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9302024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9302024ex321.htm">
              <w:r>
                <w:rPr>
                  <w:rStyle w:val="InternetLink"/>
                  <w:rFonts w:ascii="Times New Roman;sans-serif" w:hAnsi="Times New Roman;sans-serif"/>
                  <w:b w:val="false"/>
                  <w:color w:val="0000FF"/>
                  <w:sz w:val="20"/>
                  <w:u w:val="single"/>
                </w:rPr>
                <w:t>CEO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9302024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9302024ex322.htm">
              <w:r>
                <w:rPr>
                  <w:rStyle w:val="InternetLink"/>
                  <w:rFonts w:ascii="Times New Roman;sans-serif" w:hAnsi="Times New Roman;sans-serif"/>
                  <w:b w:val="false"/>
                  <w:color w:val="0000FF"/>
                  <w:sz w:val="20"/>
                  <w:u w:val="single"/>
                </w:rPr>
                <w:t>CFO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2eef25703d7400ba39006a53e828d61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6"/>
        <w:gridCol w:w="1456"/>
        <w:gridCol w:w="2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BOISE CASCADE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E. Hibbs</w:t>
              <w:b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4,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CEO CERTIFICATION PURSUANT TO SECTION 302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Nathan R. Jorgensen, certify that:</w:t>
      </w:r>
    </w:p>
    <w:p>
      <w:pPr>
        <w:pStyle w:val="TextBody"/>
        <w:bidi w:val="0"/>
        <w:spacing w:before="0" w:after="0"/>
        <w:ind w:left="0" w:right="0" w:firstLine="1440"/>
        <w:jc w:val="left"/>
        <w:rPr/>
      </w:pPr>
      <w:r>
        <w:rPr/>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4, 2024 </w:t>
      </w:r>
    </w:p>
    <w:p>
      <w:pPr>
        <w:pStyle w:val="TextBody"/>
        <w:bidi w:val="0"/>
        <w:spacing w:lineRule="auto" w:line="288" w:before="0" w:after="0"/>
        <w:jc w:val="left"/>
        <w:rPr>
          <w:color w:val="000000"/>
        </w:rPr>
      </w:pPr>
      <w:r>
        <w:rPr>
          <w:color w:val="000000"/>
        </w:rPr>
        <w:t> </w:t>
      </w:r>
    </w:p>
    <w:tbl>
      <w:tblPr>
        <w:tblW w:w="2411" w:type="dxa"/>
        <w:jc w:val="center"/>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R. Jorgensen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Nathan R. Jorgensen</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CFO CERTIFICATION PURSUANT TO SECTION 302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Kelly E. Hibbs,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4, 2024 </w:t>
      </w:r>
    </w:p>
    <w:p>
      <w:pPr>
        <w:pStyle w:val="TextBody"/>
        <w:bidi w:val="0"/>
        <w:spacing w:lineRule="auto" w:line="288" w:before="0" w:after="0"/>
        <w:jc w:val="left"/>
        <w:rPr>
          <w:color w:val="000000"/>
        </w:rPr>
      </w:pPr>
      <w:r>
        <w:rPr>
          <w:color w:val="000000"/>
        </w:rPr>
        <w:t>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Nathan R. Jorgensen,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accompanying Quarterly Report on Form 10-Q for the quarter ended September 30, 2024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expressly disclaims any obligation to update the foregoing certification except as required by law.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4, 2024 </w:t>
      </w:r>
    </w:p>
    <w:tbl>
      <w:tblPr>
        <w:tblW w:w="2411" w:type="dxa"/>
        <w:jc w:val="center"/>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R. Jorgensen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0"/>
              </w:rPr>
              <w:br/>
            </w:r>
            <w:r>
              <w:rPr>
                <w:rFonts w:ascii="Times New Roman;sans-serif" w:hAnsi="Times New Roman;sans-serif"/>
                <w:b w:val="false"/>
                <w:color w:val="000000"/>
                <w:sz w:val="20"/>
              </w:rPr>
              <w:t>Nathan R. Jorgensen</w:t>
              <w:b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Kelly E. Hibbs,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accompanying Quarterly Report on Form 10-Q for the quarter ended September 30, 2024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expressly disclaims any obligation to update the foregoing certification except as required by law.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4, 2024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18600</Words>
  <Characters>104236</Characters>
  <CharactersWithSpaces>121927</CharactersWithSpaces>
  <Paragraphs>2287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