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color w:val="000000"/>
        </w:rPr>
      </w:pPr>
      <w:r>
        <w:rPr>
          <w:color w:val="000000"/>
        </w:rPr>
        <w:t> </w:t>
      </w:r>
    </w:p>
    <w:tbl>
      <w:tblPr>
        <w:tblW w:w="9834" w:type="dxa"/>
        <w:jc w:val="center"/>
        <w:tblInd w:w="0" w:type="dxa"/>
        <w:tblLayout w:type="fixed"/>
        <w:tblCellMar>
          <w:top w:w="28" w:type="dxa"/>
          <w:left w:w="28" w:type="dxa"/>
          <w:bottom w:w="28" w:type="dxa"/>
          <w:right w:w="28" w:type="dxa"/>
        </w:tblCellMar>
      </w:tblPr>
      <w:tblGrid>
        <w:gridCol w:w="124"/>
        <w:gridCol w:w="109"/>
        <w:gridCol w:w="109"/>
        <w:gridCol w:w="1473"/>
        <w:gridCol w:w="1473"/>
        <w:gridCol w:w="1473"/>
        <w:gridCol w:w="1473"/>
        <w:gridCol w:w="1473"/>
        <w:gridCol w:w="21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For the quarterly period ended</w:t>
            </w:r>
          </w:p>
        </w:tc>
        <w:tc>
          <w:tcPr>
            <w:tcW w:w="5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Commission File Number:  001-35805</w:t>
      </w: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Boise Cascade Company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20-1496201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1111 West Jefferson Street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Boise, Idaho 83702-5389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(208) 384-6161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BCC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Accelerated filer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Non-accelerated filer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Smaller reporting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w:t>
      </w:r>
    </w:p>
    <w:p>
      <w:pPr>
        <w:pStyle w:val="TextBody"/>
        <w:bidi w:val="0"/>
        <w:spacing w:lineRule="auto" w:line="288" w:before="0" w:after="0"/>
        <w:jc w:val="left"/>
        <w:rPr/>
      </w:pPr>
      <w:r>
        <w:rPr>
          <w:rFonts w:ascii="Times New Roman;serif" w:hAnsi="Times New Roman;serif"/>
          <w:b w:val="false"/>
          <w:color w:val="000000"/>
          <w:sz w:val="20"/>
        </w:rPr>
        <w:t xml:space="preserve">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w:t>
      </w:r>
    </w:p>
    <w:p>
      <w:pPr>
        <w:pStyle w:val="TextBody"/>
        <w:bidi w:val="0"/>
        <w:spacing w:lineRule="auto" w:line="288" w:before="0" w:after="0"/>
        <w:jc w:val="left"/>
        <w:rPr/>
      </w:pP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35,189,736 shares of the registrant's common stock, $0.01 par value per share, outstanding on April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4"/>
        <w:gridCol w:w="293"/>
        <w:gridCol w:w="227"/>
        <w:gridCol w:w="225"/>
        <w:gridCol w:w="225"/>
        <w:gridCol w:w="225"/>
        <w:gridCol w:w="2409"/>
        <w:gridCol w:w="2403"/>
        <w:gridCol w:w="2411"/>
        <w:gridCol w:w="225"/>
        <w:gridCol w:w="225"/>
        <w:gridCol w:w="225"/>
        <w:gridCol w:w="225"/>
        <w:gridCol w:w="225"/>
        <w:gridCol w:w="328"/>
      </w:tblGrid>
      <w:tr>
        <w:trPr/>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pPr>
            <w:hyperlink w:anchor="ib9a2d63d69424a008d80170c8093d050_10">
              <w:r>
                <w:rPr>
                  <w:rStyle w:val="InternetLink"/>
                  <w:rFonts w:ascii="Times New Roman;serif" w:hAnsi="Times New Roman;serif"/>
                  <w:b/>
                  <w:color w:val="0000FF"/>
                  <w:sz w:val="20"/>
                  <w:u w:val="single"/>
                </w:rPr>
                <w:t>PART I—FINANCIAL INFORMATION</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3">
              <w:r>
                <w:rPr>
                  <w:rStyle w:val="InternetLink"/>
                  <w:rFonts w:ascii="Times New Roman;serif" w:hAnsi="Times New Roman;serif"/>
                  <w:b w:val="false"/>
                  <w:color w:val="0000FF"/>
                  <w:sz w:val="20"/>
                  <w:u w:val="single"/>
                </w:rPr>
                <w:t>Item 1.</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3">
              <w:r>
                <w:rPr>
                  <w:rStyle w:val="InternetLink"/>
                  <w:rFonts w:ascii="Times New Roman;serif" w:hAnsi="Times New Roman;serif"/>
                  <w:b w:val="false"/>
                  <w:color w:val="0000FF"/>
                  <w:sz w:val="20"/>
                  <w:u w:val="single"/>
                </w:rPr>
                <w:t>Financial Statements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3">
              <w:r>
                <w:rPr>
                  <w:rStyle w:val="InternetLink"/>
                  <w:rFonts w:ascii="Times New Roman;serif" w:hAnsi="Times New Roman;serif"/>
                  <w:b w:val="false"/>
                  <w:color w:val="0000FF"/>
                  <w:sz w:val="20"/>
                  <w:u w:val="single"/>
                </w:rPr>
                <w:t>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31">
              <w:r>
                <w:rPr>
                  <w:rStyle w:val="InternetLink"/>
                  <w:rFonts w:ascii="Times New Roman;serif" w:hAnsi="Times New Roman;serif"/>
                  <w:b w:val="false"/>
                  <w:color w:val="0000FF"/>
                  <w:sz w:val="20"/>
                  <w:u w:val="single"/>
                </w:rPr>
                <w:t>Condensed Notes to Unaudited Quarterly Consolidated Financial Statements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31">
              <w:r>
                <w:rPr>
                  <w:rStyle w:val="InternetLink"/>
                  <w:rFonts w:ascii="Times New Roman;serif" w:hAnsi="Times New Roman;serif"/>
                  <w:b w:val="false"/>
                  <w:color w:val="0000FF"/>
                  <w:sz w:val="20"/>
                  <w:u w:val="single"/>
                </w:rPr>
                <w:t>8</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34">
              <w:r>
                <w:rPr>
                  <w:rStyle w:val="InternetLink"/>
                  <w:rFonts w:ascii="Times New Roman;serif" w:hAnsi="Times New Roman;serif"/>
                  <w:b w:val="false"/>
                  <w:color w:val="0000FF"/>
                  <w:sz w:val="20"/>
                  <w:u w:val="single"/>
                </w:rPr>
                <w:t>1. Nature of Operations and Consolidation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34">
              <w:r>
                <w:rPr>
                  <w:rStyle w:val="InternetLink"/>
                  <w:rFonts w:ascii="Times New Roman;serif" w:hAnsi="Times New Roman;serif"/>
                  <w:b w:val="false"/>
                  <w:color w:val="0000FF"/>
                  <w:sz w:val="20"/>
                  <w:u w:val="single"/>
                </w:rPr>
                <w:t>8</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37">
              <w:r>
                <w:rPr>
                  <w:rStyle w:val="InternetLink"/>
                  <w:rFonts w:ascii="Times New Roman;serif" w:hAnsi="Times New Roman;serif"/>
                  <w:b w:val="false"/>
                  <w:color w:val="0000FF"/>
                  <w:sz w:val="20"/>
                  <w:u w:val="single"/>
                </w:rPr>
                <w:t>2. Summary of Significant Accounting Policies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37">
              <w:r>
                <w:rPr>
                  <w:rStyle w:val="InternetLink"/>
                  <w:rFonts w:ascii="Times New Roman;serif" w:hAnsi="Times New Roman;serif"/>
                  <w:b w:val="false"/>
                  <w:color w:val="0000FF"/>
                  <w:sz w:val="20"/>
                  <w:u w:val="single"/>
                </w:rPr>
                <w:t>8</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40">
              <w:r>
                <w:rPr>
                  <w:rStyle w:val="InternetLink"/>
                  <w:rFonts w:ascii="Times New Roman;serif" w:hAnsi="Times New Roman;serif"/>
                  <w:b w:val="false"/>
                  <w:color w:val="0000FF"/>
                  <w:sz w:val="20"/>
                  <w:u w:val="single"/>
                </w:rPr>
                <w:t>3. Income Taxes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40">
              <w:r>
                <w:rPr>
                  <w:rStyle w:val="InternetLink"/>
                  <w:rFonts w:ascii="Times New Roman;serif" w:hAnsi="Times New Roman;serif"/>
                  <w:b w:val="false"/>
                  <w:color w:val="0000FF"/>
                  <w:sz w:val="20"/>
                  <w:u w:val="single"/>
                </w:rPr>
                <w:t>12</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43">
              <w:r>
                <w:rPr>
                  <w:rStyle w:val="InternetLink"/>
                  <w:rFonts w:ascii="Times New Roman;serif" w:hAnsi="Times New Roman;serif"/>
                  <w:b w:val="false"/>
                  <w:color w:val="0000FF"/>
                  <w:sz w:val="20"/>
                  <w:u w:val="single"/>
                </w:rPr>
                <w:t>4. Net Income Per Common Share</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43">
              <w:r>
                <w:rPr>
                  <w:rStyle w:val="InternetLink"/>
                  <w:rFonts w:ascii="Times New Roman;serif" w:hAnsi="Times New Roman;serif"/>
                  <w:b w:val="false"/>
                  <w:color w:val="0000FF"/>
                  <w:sz w:val="20"/>
                  <w:u w:val="single"/>
                </w:rPr>
                <w:t>12</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49">
              <w:r>
                <w:rPr>
                  <w:rStyle w:val="InternetLink"/>
                  <w:rFonts w:ascii="Times New Roman;serif" w:hAnsi="Times New Roman;serif"/>
                  <w:b w:val="false"/>
                  <w:color w:val="0000FF"/>
                  <w:sz w:val="20"/>
                  <w:u w:val="single"/>
                </w:rPr>
                <w:t>5. Goodwill and Intangible Assets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49">
              <w:r>
                <w:rPr>
                  <w:rStyle w:val="InternetLink"/>
                  <w:rFonts w:ascii="Times New Roman;serif" w:hAnsi="Times New Roman;serif"/>
                  <w:b w:val="false"/>
                  <w:color w:val="0000FF"/>
                  <w:sz w:val="20"/>
                  <w:u w:val="single"/>
                </w:rPr>
                <w:t>13</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52">
              <w:r>
                <w:rPr>
                  <w:rStyle w:val="InternetLink"/>
                  <w:rFonts w:ascii="Times New Roman;serif" w:hAnsi="Times New Roman;serif"/>
                  <w:b w:val="false"/>
                  <w:color w:val="0000FF"/>
                  <w:sz w:val="20"/>
                  <w:u w:val="single"/>
                </w:rPr>
                <w:t>6. Debt</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52">
              <w:r>
                <w:rPr>
                  <w:rStyle w:val="InternetLink"/>
                  <w:rFonts w:ascii="Times New Roman;serif" w:hAnsi="Times New Roman;serif"/>
                  <w:b w:val="false"/>
                  <w:color w:val="0000FF"/>
                  <w:sz w:val="20"/>
                  <w:u w:val="single"/>
                </w:rPr>
                <w:t>14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55">
              <w:r>
                <w:rPr>
                  <w:rStyle w:val="InternetLink"/>
                  <w:rFonts w:ascii="Times New Roman;serif" w:hAnsi="Times New Roman;serif"/>
                  <w:b w:val="false"/>
                  <w:color w:val="0000FF"/>
                  <w:sz w:val="20"/>
                  <w:u w:val="single"/>
                </w:rPr>
                <w:t>7. Leases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55">
              <w:r>
                <w:rPr>
                  <w:rStyle w:val="InternetLink"/>
                  <w:rFonts w:ascii="Times New Roman;serif" w:hAnsi="Times New Roman;serif"/>
                  <w:b w:val="false"/>
                  <w:color w:val="0000FF"/>
                  <w:sz w:val="20"/>
                  <w:u w:val="single"/>
                </w:rPr>
                <w:t>15</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58">
              <w:r>
                <w:rPr>
                  <w:rStyle w:val="InternetLink"/>
                  <w:rFonts w:ascii="Times New Roman;serif" w:hAnsi="Times New Roman;serif"/>
                  <w:b w:val="false"/>
                  <w:color w:val="0000FF"/>
                  <w:sz w:val="20"/>
                  <w:u w:val="single"/>
                </w:rPr>
                <w:t>8. Stock-Based Compensation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58">
              <w:r>
                <w:rPr>
                  <w:rStyle w:val="InternetLink"/>
                  <w:rFonts w:ascii="Times New Roman;serif" w:hAnsi="Times New Roman;serif"/>
                  <w:b w:val="false"/>
                  <w:color w:val="0000FF"/>
                  <w:sz w:val="20"/>
                  <w:u w:val="single"/>
                </w:rPr>
                <w:t>17</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61">
              <w:r>
                <w:rPr>
                  <w:rStyle w:val="InternetLink"/>
                  <w:rFonts w:ascii="Times New Roman;serif" w:hAnsi="Times New Roman;serif"/>
                  <w:b w:val="false"/>
                  <w:color w:val="0000FF"/>
                  <w:sz w:val="20"/>
                  <w:u w:val="single"/>
                </w:rPr>
                <w:t>9. Stockholders' Equity</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61">
              <w:r>
                <w:rPr>
                  <w:rStyle w:val="InternetLink"/>
                  <w:rFonts w:ascii="Times New Roman;serif" w:hAnsi="Times New Roman;serif"/>
                  <w:b w:val="false"/>
                  <w:color w:val="0000FF"/>
                  <w:sz w:val="20"/>
                  <w:u w:val="single"/>
                </w:rPr>
                <w:t>18</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64">
              <w:r>
                <w:rPr>
                  <w:rStyle w:val="InternetLink"/>
                  <w:rFonts w:ascii="Times New Roman;serif" w:hAnsi="Times New Roman;serif"/>
                  <w:b w:val="false"/>
                  <w:color w:val="0000FF"/>
                  <w:sz w:val="20"/>
                  <w:u w:val="single"/>
                </w:rPr>
                <w:t>10. Transactions With Related Party</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64">
              <w:r>
                <w:rPr>
                  <w:rStyle w:val="InternetLink"/>
                  <w:rFonts w:ascii="Times New Roman;serif" w:hAnsi="Times New Roman;serif"/>
                  <w:b w:val="false"/>
                  <w:color w:val="0000FF"/>
                  <w:sz w:val="20"/>
                  <w:u w:val="single"/>
                </w:rPr>
                <w:t>19</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67">
              <w:r>
                <w:rPr>
                  <w:rStyle w:val="InternetLink"/>
                  <w:rFonts w:ascii="Times New Roman;serif" w:hAnsi="Times New Roman;serif"/>
                  <w:b w:val="false"/>
                  <w:color w:val="0000FF"/>
                  <w:sz w:val="20"/>
                  <w:u w:val="single"/>
                </w:rPr>
                <w:t>11. Segment Information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67">
              <w:r>
                <w:rPr>
                  <w:rStyle w:val="InternetLink"/>
                  <w:rFonts w:ascii="Times New Roman;serif" w:hAnsi="Times New Roman;serif"/>
                  <w:b w:val="false"/>
                  <w:color w:val="0000FF"/>
                  <w:sz w:val="20"/>
                  <w:u w:val="single"/>
                </w:rPr>
                <w:t>20</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70">
              <w:r>
                <w:rPr>
                  <w:rStyle w:val="InternetLink"/>
                  <w:rFonts w:ascii="Times New Roman;serif" w:hAnsi="Times New Roman;serif"/>
                  <w:b w:val="false"/>
                  <w:color w:val="0000FF"/>
                  <w:sz w:val="20"/>
                  <w:u w:val="single"/>
                </w:rPr>
                <w:t>12. Commitments, Legal Proceedings and Contingencies, and Guarantees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70">
              <w:r>
                <w:rPr>
                  <w:rStyle w:val="InternetLink"/>
                  <w:rFonts w:ascii="Times New Roman;serif" w:hAnsi="Times New Roman;serif"/>
                  <w:b w:val="false"/>
                  <w:color w:val="0000FF"/>
                  <w:sz w:val="20"/>
                  <w:u w:val="single"/>
                </w:rPr>
                <w:t>22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73">
              <w:r>
                <w:rPr>
                  <w:rStyle w:val="InternetLink"/>
                  <w:rFonts w:ascii="Times New Roman;serif" w:hAnsi="Times New Roman;serif"/>
                  <w:b w:val="false"/>
                  <w:color w:val="0000FF"/>
                  <w:sz w:val="20"/>
                  <w:u w:val="single"/>
                </w:rPr>
                <w:t>Item 2.</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73">
              <w:r>
                <w:rPr>
                  <w:rStyle w:val="InternetLink"/>
                  <w:rFonts w:ascii="Times New Roman;serif" w:hAnsi="Times New Roman;serif"/>
                  <w:b w:val="false"/>
                  <w:color w:val="0000FF"/>
                  <w:sz w:val="20"/>
                  <w:u w:val="single"/>
                </w:rPr>
                <w:t>24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76">
              <w:r>
                <w:rPr>
                  <w:rStyle w:val="InternetLink"/>
                  <w:rFonts w:ascii="Times New Roman;serif" w:hAnsi="Times New Roman;serif"/>
                  <w:b w:val="false"/>
                  <w:color w:val="0000FF"/>
                  <w:sz w:val="20"/>
                  <w:u w:val="single"/>
                </w:rPr>
                <w:t>Understanding Our Financial Information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76">
              <w:r>
                <w:rPr>
                  <w:rStyle w:val="InternetLink"/>
                  <w:rFonts w:ascii="Times New Roman;serif" w:hAnsi="Times New Roman;serif"/>
                  <w:b w:val="false"/>
                  <w:color w:val="0000FF"/>
                  <w:sz w:val="20"/>
                  <w:u w:val="single"/>
                </w:rPr>
                <w:t>24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79">
              <w:r>
                <w:rPr>
                  <w:rStyle w:val="InternetLink"/>
                  <w:rFonts w:ascii="Times New Roman;serif" w:hAnsi="Times New Roman;serif"/>
                  <w:b w:val="false"/>
                  <w:color w:val="0000FF"/>
                  <w:sz w:val="20"/>
                  <w:u w:val="single"/>
                </w:rPr>
                <w:t>Executive Overview</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79">
              <w:r>
                <w:rPr>
                  <w:rStyle w:val="InternetLink"/>
                  <w:rFonts w:ascii="Times New Roman;serif" w:hAnsi="Times New Roman;serif"/>
                  <w:b w:val="false"/>
                  <w:color w:val="0000FF"/>
                  <w:sz w:val="20"/>
                  <w:u w:val="single"/>
                </w:rPr>
                <w:t>25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82">
              <w:r>
                <w:rPr>
                  <w:rStyle w:val="InternetLink"/>
                  <w:rFonts w:ascii="Times New Roman;serif" w:hAnsi="Times New Roman;serif"/>
                  <w:b w:val="false"/>
                  <w:color w:val="0000FF"/>
                  <w:sz w:val="20"/>
                  <w:u w:val="single"/>
                </w:rPr>
                <w:t>Factors That Affect Our Operating Results and Trends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82">
              <w:r>
                <w:rPr>
                  <w:rStyle w:val="InternetLink"/>
                  <w:rFonts w:ascii="Times New Roman;serif" w:hAnsi="Times New Roman;serif"/>
                  <w:b w:val="false"/>
                  <w:color w:val="0000FF"/>
                  <w:sz w:val="20"/>
                  <w:u w:val="single"/>
                </w:rPr>
                <w:t>25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85">
              <w:r>
                <w:rPr>
                  <w:rStyle w:val="InternetLink"/>
                  <w:rFonts w:ascii="Times New Roman;serif" w:hAnsi="Times New Roman;serif"/>
                  <w:b w:val="false"/>
                  <w:color w:val="0000FF"/>
                  <w:sz w:val="20"/>
                  <w:u w:val="single"/>
                </w:rPr>
                <w:t>Our Operating Results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85">
              <w:r>
                <w:rPr>
                  <w:rStyle w:val="InternetLink"/>
                  <w:rFonts w:ascii="Times New Roman;serif" w:hAnsi="Times New Roman;serif"/>
                  <w:b w:val="false"/>
                  <w:color w:val="0000FF"/>
                  <w:sz w:val="20"/>
                  <w:u w:val="single"/>
                </w:rPr>
                <w:t>27</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91">
              <w:r>
                <w:rPr>
                  <w:rStyle w:val="InternetLink"/>
                  <w:rFonts w:ascii="Times New Roman;serif" w:hAnsi="Times New Roman;serif"/>
                  <w:b w:val="false"/>
                  <w:color w:val="0000FF"/>
                  <w:sz w:val="20"/>
                  <w:u w:val="single"/>
                </w:rPr>
                <w:t>Liquidity and Capital Resources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91">
              <w:r>
                <w:rPr>
                  <w:rStyle w:val="InternetLink"/>
                  <w:rFonts w:ascii="Times New Roman;serif" w:hAnsi="Times New Roman;serif"/>
                  <w:b w:val="false"/>
                  <w:color w:val="0000FF"/>
                  <w:sz w:val="20"/>
                  <w:u w:val="single"/>
                </w:rPr>
                <w:t>30</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94">
              <w:r>
                <w:rPr>
                  <w:rStyle w:val="InternetLink"/>
                  <w:rFonts w:ascii="Times New Roman;serif" w:hAnsi="Times New Roman;serif"/>
                  <w:b w:val="false"/>
                  <w:color w:val="0000FF"/>
                  <w:sz w:val="20"/>
                  <w:u w:val="single"/>
                </w:rPr>
                <w:t>Guarantees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94">
              <w:r>
                <w:rPr>
                  <w:rStyle w:val="InternetLink"/>
                  <w:rFonts w:ascii="Times New Roman;serif" w:hAnsi="Times New Roman;serif"/>
                  <w:b w:val="false"/>
                  <w:color w:val="0000FF"/>
                  <w:sz w:val="20"/>
                  <w:u w:val="single"/>
                </w:rPr>
                <w:t>32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97">
              <w:r>
                <w:rPr>
                  <w:rStyle w:val="InternetLink"/>
                  <w:rFonts w:ascii="Times New Roman;serif" w:hAnsi="Times New Roman;serif"/>
                  <w:b w:val="false"/>
                  <w:color w:val="0000FF"/>
                  <w:sz w:val="20"/>
                  <w:u w:val="single"/>
                </w:rPr>
                <w:t>Seasonal Influences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97">
              <w:r>
                <w:rPr>
                  <w:rStyle w:val="InternetLink"/>
                  <w:rFonts w:ascii="Times New Roman;serif" w:hAnsi="Times New Roman;serif"/>
                  <w:b w:val="false"/>
                  <w:color w:val="0000FF"/>
                  <w:sz w:val="20"/>
                  <w:u w:val="single"/>
                </w:rPr>
                <w:t>32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00">
              <w:r>
                <w:rPr>
                  <w:rStyle w:val="InternetLink"/>
                  <w:rFonts w:ascii="Times New Roman;serif" w:hAnsi="Times New Roman;serif"/>
                  <w:b w:val="false"/>
                  <w:color w:val="0000FF"/>
                  <w:sz w:val="20"/>
                  <w:u w:val="single"/>
                </w:rPr>
                <w:t>Employees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00">
              <w:r>
                <w:rPr>
                  <w:rStyle w:val="InternetLink"/>
                  <w:rFonts w:ascii="Times New Roman;serif" w:hAnsi="Times New Roman;serif"/>
                  <w:b w:val="false"/>
                  <w:color w:val="0000FF"/>
                  <w:sz w:val="20"/>
                  <w:u w:val="single"/>
                </w:rPr>
                <w:t>32</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03">
              <w:r>
                <w:rPr>
                  <w:rStyle w:val="InternetLink"/>
                  <w:rFonts w:ascii="Times New Roman;serif" w:hAnsi="Times New Roman;serif"/>
                  <w:b w:val="false"/>
                  <w:color w:val="0000FF"/>
                  <w:sz w:val="20"/>
                  <w:u w:val="single"/>
                </w:rPr>
                <w:t>Disclosures of Financial Market Risks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03">
              <w:r>
                <w:rPr>
                  <w:rStyle w:val="InternetLink"/>
                  <w:rFonts w:ascii="Times New Roman;serif" w:hAnsi="Times New Roman;serif"/>
                  <w:b w:val="false"/>
                  <w:color w:val="0000FF"/>
                  <w:sz w:val="20"/>
                  <w:u w:val="single"/>
                </w:rPr>
                <w:t>32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06">
              <w:r>
                <w:rPr>
                  <w:rStyle w:val="InternetLink"/>
                  <w:rFonts w:ascii="Times New Roman;serif" w:hAnsi="Times New Roman;serif"/>
                  <w:b w:val="false"/>
                  <w:color w:val="0000FF"/>
                  <w:sz w:val="20"/>
                  <w:u w:val="single"/>
                </w:rPr>
                <w:t>Environmental</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06">
              <w:r>
                <w:rPr>
                  <w:rStyle w:val="InternetLink"/>
                  <w:rFonts w:ascii="Times New Roman;serif" w:hAnsi="Times New Roman;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09">
              <w:r>
                <w:rPr>
                  <w:rStyle w:val="InternetLink"/>
                  <w:rFonts w:ascii="Times New Roman;serif" w:hAnsi="Times New Roman;serif"/>
                  <w:b w:val="false"/>
                  <w:color w:val="0000FF"/>
                  <w:sz w:val="20"/>
                  <w:u w:val="single"/>
                </w:rPr>
                <w:t>Critical Accounting Estimates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09">
              <w:r>
                <w:rPr>
                  <w:rStyle w:val="InternetLink"/>
                  <w:rFonts w:ascii="Times New Roman;serif" w:hAnsi="Times New Roman;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12">
              <w:r>
                <w:rPr>
                  <w:rStyle w:val="InternetLink"/>
                  <w:rFonts w:ascii="Times New Roman;serif" w:hAnsi="Times New Roman;serif"/>
                  <w:b w:val="false"/>
                  <w:color w:val="0000FF"/>
                  <w:sz w:val="20"/>
                  <w:u w:val="single"/>
                </w:rPr>
                <w:t>New and Recently Adopted Accounting Standards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12">
              <w:r>
                <w:rPr>
                  <w:rStyle w:val="InternetLink"/>
                  <w:rFonts w:ascii="Times New Roman;serif" w:hAnsi="Times New Roman;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15">
              <w:r>
                <w:rPr>
                  <w:rStyle w:val="InternetLink"/>
                  <w:rFonts w:ascii="Times New Roman;serif" w:hAnsi="Times New Roman;serif"/>
                  <w:b w:val="false"/>
                  <w:color w:val="0000FF"/>
                  <w:sz w:val="20"/>
                  <w:u w:val="single"/>
                </w:rPr>
                <w:t>Item 3.</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15">
              <w:r>
                <w:rPr>
                  <w:rStyle w:val="InternetLink"/>
                  <w:rFonts w:ascii="Times New Roman;serif" w:hAnsi="Times New Roman;serif"/>
                  <w:b w:val="false"/>
                  <w:color w:val="0000FF"/>
                  <w:sz w:val="20"/>
                  <w:u w:val="single"/>
                </w:rPr>
                <w:t>Quantitative and Qualitative Disclosures About Market Risk</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15">
              <w:r>
                <w:rPr>
                  <w:rStyle w:val="InternetLink"/>
                  <w:rFonts w:ascii="Times New Roman;serif" w:hAnsi="Times New Roman;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18">
              <w:r>
                <w:rPr>
                  <w:rStyle w:val="InternetLink"/>
                  <w:rFonts w:ascii="Times New Roman;serif" w:hAnsi="Times New Roman;serif"/>
                  <w:b w:val="false"/>
                  <w:color w:val="0000FF"/>
                  <w:sz w:val="20"/>
                  <w:u w:val="single"/>
                </w:rPr>
                <w:t>Item 4.</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18">
              <w:r>
                <w:rPr>
                  <w:rStyle w:val="InternetLink"/>
                  <w:rFonts w:ascii="Times New Roman;serif" w:hAnsi="Times New Roman;serif"/>
                  <w:b w:val="false"/>
                  <w:color w:val="0000FF"/>
                  <w:sz w:val="20"/>
                  <w:u w:val="single"/>
                </w:rPr>
                <w:t>Controls and Procedures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18">
              <w:r>
                <w:rPr>
                  <w:rStyle w:val="InternetLink"/>
                  <w:rFonts w:ascii="Times New Roman;serif" w:hAnsi="Times New Roman;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pPr>
            <w:hyperlink w:anchor="ib9a2d63d69424a008d80170c8093d050_121">
              <w:r>
                <w:rPr>
                  <w:rStyle w:val="InternetLink"/>
                  <w:rFonts w:ascii="Times New Roman;serif" w:hAnsi="Times New Roman;serif"/>
                  <w:b/>
                  <w:color w:val="0000FF"/>
                  <w:sz w:val="20"/>
                  <w:u w:val="single"/>
                </w:rPr>
                <w:t>PART II—OTHER INFORMATION</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24">
              <w:r>
                <w:rPr>
                  <w:rStyle w:val="InternetLink"/>
                  <w:rFonts w:ascii="Times New Roman;serif" w:hAnsi="Times New Roman;serif"/>
                  <w:b w:val="false"/>
                  <w:color w:val="0000FF"/>
                  <w:sz w:val="20"/>
                  <w:u w:val="single"/>
                </w:rPr>
                <w:t>Item 1.</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24">
              <w:r>
                <w:rPr>
                  <w:rStyle w:val="InternetLink"/>
                  <w:rFonts w:ascii="Times New Roman;serif" w:hAnsi="Times New Roman;serif"/>
                  <w:b w:val="false"/>
                  <w:color w:val="0000FF"/>
                  <w:sz w:val="20"/>
                  <w:u w:val="single"/>
                </w:rPr>
                <w:t>Legal Proceedings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24">
              <w:r>
                <w:rPr>
                  <w:rStyle w:val="InternetLink"/>
                  <w:rFonts w:ascii="Times New Roman;serif" w:hAnsi="Times New Roman;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27">
              <w:r>
                <w:rPr>
                  <w:rStyle w:val="InternetLink"/>
                  <w:rFonts w:ascii="Times New Roman;serif" w:hAnsi="Times New Roman;serif"/>
                  <w:b w:val="false"/>
                  <w:color w:val="0000FF"/>
                  <w:sz w:val="20"/>
                  <w:u w:val="single"/>
                </w:rPr>
                <w:t>Item 1A.</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27">
              <w:r>
                <w:rPr>
                  <w:rStyle w:val="InternetLink"/>
                  <w:rFonts w:ascii="Times New Roman;serif" w:hAnsi="Times New Roman;serif"/>
                  <w:b w:val="false"/>
                  <w:color w:val="0000FF"/>
                  <w:sz w:val="20"/>
                  <w:u w:val="single"/>
                </w:rPr>
                <w:t>Risk Factors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27">
              <w:r>
                <w:rPr>
                  <w:rStyle w:val="InternetLink"/>
                  <w:rFonts w:ascii="Times New Roman;serif" w:hAnsi="Times New Roman;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30">
              <w:r>
                <w:rPr>
                  <w:rStyle w:val="InternetLink"/>
                  <w:rFonts w:ascii="Times New Roman;serif" w:hAnsi="Times New Roman;serif"/>
                  <w:b w:val="false"/>
                  <w:color w:val="0000FF"/>
                  <w:sz w:val="20"/>
                  <w:u w:val="single"/>
                </w:rPr>
                <w:t>Item 2.</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30">
              <w:r>
                <w:rPr>
                  <w:rStyle w:val="InternetLink"/>
                  <w:rFonts w:ascii="Times New Roman;serif" w:hAnsi="Times New Roman;serif"/>
                  <w:b w:val="false"/>
                  <w:color w:val="0000FF"/>
                  <w:sz w:val="20"/>
                  <w:u w:val="single"/>
                </w:rPr>
                <w:t>Unregistered Sales of Equity Securities and Use of Proceeds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30">
              <w:r>
                <w:rPr>
                  <w:rStyle w:val="InternetLink"/>
                  <w:rFonts w:ascii="Times New Roman;serif" w:hAnsi="Times New Roman;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33">
              <w:r>
                <w:rPr>
                  <w:rStyle w:val="InternetLink"/>
                  <w:rFonts w:ascii="Times New Roman;serif" w:hAnsi="Times New Roman;serif"/>
                  <w:b w:val="false"/>
                  <w:color w:val="0000FF"/>
                  <w:sz w:val="20"/>
                  <w:u w:val="single"/>
                </w:rPr>
                <w:t>Item 3.</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33">
              <w:r>
                <w:rPr>
                  <w:rStyle w:val="InternetLink"/>
                  <w:rFonts w:ascii="Times New Roman;serif" w:hAnsi="Times New Roman;serif"/>
                  <w:b w:val="false"/>
                  <w:color w:val="0000FF"/>
                  <w:sz w:val="20"/>
                  <w:u w:val="single"/>
                </w:rPr>
                <w:t>Defaults Upon Senior Securities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33">
              <w:r>
                <w:rPr>
                  <w:rStyle w:val="InternetLink"/>
                  <w:rFonts w:ascii="Times New Roman;serif" w:hAnsi="Times New Roman;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36">
              <w:r>
                <w:rPr>
                  <w:rStyle w:val="InternetLink"/>
                  <w:rFonts w:ascii="Times New Roman;serif" w:hAnsi="Times New Roman;serif"/>
                  <w:b w:val="false"/>
                  <w:color w:val="0000FF"/>
                  <w:sz w:val="20"/>
                  <w:u w:val="single"/>
                </w:rPr>
                <w:t>Item 4.</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36">
              <w:r>
                <w:rPr>
                  <w:rStyle w:val="InternetLink"/>
                  <w:rFonts w:ascii="Times New Roman;serif" w:hAnsi="Times New Roman;serif"/>
                  <w:b w:val="false"/>
                  <w:color w:val="0000FF"/>
                  <w:sz w:val="20"/>
                  <w:u w:val="single"/>
                </w:rPr>
                <w:t>Mine Safety Disclosures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36">
              <w:r>
                <w:rPr>
                  <w:rStyle w:val="InternetLink"/>
                  <w:rFonts w:ascii="Times New Roman;serif" w:hAnsi="Times New Roman;serif"/>
                  <w:b w:val="false"/>
                  <w:color w:val="0000FF"/>
                  <w:sz w:val="20"/>
                  <w:u w:val="single"/>
                </w:rPr>
                <w:t>35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39">
              <w:r>
                <w:rPr>
                  <w:rStyle w:val="InternetLink"/>
                  <w:rFonts w:ascii="Times New Roman;serif" w:hAnsi="Times New Roman;serif"/>
                  <w:b w:val="false"/>
                  <w:color w:val="0000FF"/>
                  <w:sz w:val="20"/>
                  <w:u w:val="single"/>
                </w:rPr>
                <w:t>Item 5.</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39">
              <w:r>
                <w:rPr>
                  <w:rStyle w:val="InternetLink"/>
                  <w:rFonts w:ascii="Times New Roman;serif" w:hAnsi="Times New Roman;serif"/>
                  <w:b w:val="false"/>
                  <w:color w:val="0000FF"/>
                  <w:sz w:val="20"/>
                  <w:u w:val="single"/>
                </w:rPr>
                <w:t>Other Information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39">
              <w:r>
                <w:rPr>
                  <w:rStyle w:val="InternetLink"/>
                  <w:rFonts w:ascii="Times New Roman;serif" w:hAnsi="Times New Roman;serif"/>
                  <w:b w:val="false"/>
                  <w:color w:val="0000FF"/>
                  <w:sz w:val="20"/>
                  <w:u w:val="single"/>
                </w:rPr>
                <w:t>35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42">
              <w:r>
                <w:rPr>
                  <w:rStyle w:val="InternetLink"/>
                  <w:rFonts w:ascii="Times New Roman;serif" w:hAnsi="Times New Roman;serif"/>
                  <w:b w:val="false"/>
                  <w:color w:val="0000FF"/>
                  <w:sz w:val="20"/>
                  <w:u w:val="single"/>
                </w:rPr>
                <w:t>Item 6.</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42">
              <w:r>
                <w:rPr>
                  <w:rStyle w:val="InternetLink"/>
                  <w:rFonts w:ascii="Times New Roman;serif" w:hAnsi="Times New Roman;serif"/>
                  <w:b w:val="false"/>
                  <w:color w:val="0000FF"/>
                  <w:sz w:val="20"/>
                  <w:u w:val="single"/>
                </w:rPr>
                <w:t>Exhibits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42">
              <w:r>
                <w:rPr>
                  <w:rStyle w:val="InternetLink"/>
                  <w:rFonts w:ascii="Times New Roman;serif" w:hAnsi="Times New Roman;serif"/>
                  <w:b w:val="false"/>
                  <w:color w:val="0000FF"/>
                  <w:sz w:val="20"/>
                  <w:u w:val="single"/>
                </w:rPr>
                <w:t>35</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2d63d69424a008d80170c8093d050_145">
              <w:r>
                <w:rPr>
                  <w:rStyle w:val="InternetLink"/>
                  <w:rFonts w:ascii="Times New Roman;serif" w:hAnsi="Times New Roman;serif"/>
                  <w:b w:val="false"/>
                  <w:color w:val="0000FF"/>
                  <w:sz w:val="20"/>
                  <w:u w:val="single"/>
                </w:rPr>
                <w:t>Signatures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2d63d69424a008d80170c8093d050_145">
              <w:r>
                <w:rPr>
                  <w:rStyle w:val="InternetLink"/>
                  <w:rFonts w:ascii="Times New Roman;serif" w:hAnsi="Times New Roman;serif"/>
                  <w:b w:val="false"/>
                  <w:color w:val="0000FF"/>
                  <w:sz w:val="20"/>
                  <w:u w:val="singl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2"/>
        </w:rPr>
      </w:pPr>
      <w:r>
        <w:rPr>
          <w:rFonts w:ascii="Times New Roman;serif" w:hAnsi="Times New Roman;serif"/>
          <w:b/>
          <w:i/>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355" w:type="dxa"/>
        <w:jc w:val="left"/>
        <w:tblInd w:w="0" w:type="dxa"/>
        <w:tblLayout w:type="fixed"/>
        <w:tblCellMar>
          <w:top w:w="28" w:type="dxa"/>
          <w:left w:w="28" w:type="dxa"/>
          <w:bottom w:w="28" w:type="dxa"/>
          <w:right w:w="28" w:type="dxa"/>
        </w:tblCellMar>
      </w:tblPr>
      <w:tblGrid>
        <w:gridCol w:w="2134"/>
        <w:gridCol w:w="1878"/>
        <w:gridCol w:w="1898"/>
        <w:gridCol w:w="214"/>
        <w:gridCol w:w="993"/>
        <w:gridCol w:w="110"/>
        <w:gridCol w:w="110"/>
        <w:gridCol w:w="110"/>
        <w:gridCol w:w="110"/>
        <w:gridCol w:w="214"/>
        <w:gridCol w:w="993"/>
        <w:gridCol w:w="110"/>
        <w:gridCol w:w="109"/>
        <w:gridCol w:w="109"/>
        <w:gridCol w:w="109"/>
        <w:gridCol w:w="154"/>
      </w:tblGrid>
      <w:tr>
        <w:trPr/>
        <w:tc>
          <w:tcPr>
            <w:tcW w:w="213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 except per-share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labor, and other operating expenses (excluding depreciation)</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distribution expenses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1,481,975 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loss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expense (excluding service costs)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17,842</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40,348</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439" w:type="dxa"/>
        <w:jc w:val="left"/>
        <w:tblInd w:w="0" w:type="dxa"/>
        <w:tblLayout w:type="fixed"/>
        <w:tblCellMar>
          <w:top w:w="28" w:type="dxa"/>
          <w:left w:w="28" w:type="dxa"/>
          <w:bottom w:w="28" w:type="dxa"/>
          <w:right w:w="28" w:type="dxa"/>
        </w:tblCellMar>
      </w:tblPr>
      <w:tblGrid>
        <w:gridCol w:w="1993"/>
        <w:gridCol w:w="1751"/>
        <w:gridCol w:w="1775"/>
        <w:gridCol w:w="211"/>
        <w:gridCol w:w="736"/>
        <w:gridCol w:w="109"/>
        <w:gridCol w:w="109"/>
        <w:gridCol w:w="109"/>
        <w:gridCol w:w="109"/>
        <w:gridCol w:w="211"/>
        <w:gridCol w:w="736"/>
        <w:gridCol w:w="109"/>
        <w:gridCol w:w="109"/>
        <w:gridCol w:w="109"/>
        <w:gridCol w:w="109"/>
        <w:gridCol w:w="154"/>
      </w:tblGrid>
      <w:tr>
        <w:trPr/>
        <w:tc>
          <w:tcPr>
            <w:tcW w:w="199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net of tax</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Defined benefit pension plans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 net of tax of $3 and $2,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699" w:type="dxa"/>
        <w:jc w:val="center"/>
        <w:tblInd w:w="0" w:type="dxa"/>
        <w:tblLayout w:type="fixed"/>
        <w:tblCellMar>
          <w:top w:w="28" w:type="dxa"/>
          <w:left w:w="28" w:type="dxa"/>
          <w:bottom w:w="28" w:type="dxa"/>
          <w:right w:w="28" w:type="dxa"/>
        </w:tblCellMar>
      </w:tblPr>
      <w:tblGrid>
        <w:gridCol w:w="1339"/>
        <w:gridCol w:w="1178"/>
        <w:gridCol w:w="1188"/>
        <w:gridCol w:w="211"/>
        <w:gridCol w:w="991"/>
        <w:gridCol w:w="109"/>
        <w:gridCol w:w="109"/>
        <w:gridCol w:w="109"/>
        <w:gridCol w:w="109"/>
        <w:gridCol w:w="211"/>
        <w:gridCol w:w="991"/>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less allowances of $5,659 and $5,618</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1,654,418 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Timber deposits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3,341,624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3,241,943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06"/>
        <w:gridCol w:w="2294"/>
        <w:gridCol w:w="2298"/>
        <w:gridCol w:w="211"/>
        <w:gridCol w:w="995"/>
        <w:gridCol w:w="109"/>
        <w:gridCol w:w="109"/>
        <w:gridCol w:w="109"/>
        <w:gridCol w:w="109"/>
        <w:gridCol w:w="211"/>
        <w:gridCol w:w="995"/>
        <w:gridCol w:w="159"/>
      </w:tblGrid>
      <w:tr>
        <w:trPr/>
        <w:tc>
          <w:tcPr>
            <w:tcW w:w="260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 except per-share data)</w:t>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parties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493,076 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net </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net of current portion</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contingent liabilities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per share; 50,000 shares authorized, no shares issued and outstanding</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per share; 300,000 shares authorized, 35,503 and 36,190 shares issued, respectively</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2,074,878 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3,341,624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3,241,943</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963" w:type="dxa"/>
        <w:jc w:val="left"/>
        <w:tblInd w:w="0" w:type="dxa"/>
        <w:tblLayout w:type="fixed"/>
        <w:tblCellMar>
          <w:top w:w="28" w:type="dxa"/>
          <w:left w:w="28" w:type="dxa"/>
          <w:bottom w:w="28" w:type="dxa"/>
          <w:right w:w="28" w:type="dxa"/>
        </w:tblCellMar>
      </w:tblPr>
      <w:tblGrid>
        <w:gridCol w:w="2272"/>
        <w:gridCol w:w="1997"/>
        <w:gridCol w:w="2000"/>
        <w:gridCol w:w="211"/>
        <w:gridCol w:w="841"/>
        <w:gridCol w:w="109"/>
        <w:gridCol w:w="109"/>
        <w:gridCol w:w="109"/>
        <w:gridCol w:w="109"/>
        <w:gridCol w:w="211"/>
        <w:gridCol w:w="841"/>
        <w:gridCol w:w="154"/>
      </w:tblGrid>
      <w:tr>
        <w:trPr/>
        <w:tc>
          <w:tcPr>
            <w:tcW w:w="227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for) operations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Items in net income not using (providing) cash</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deferred financing costs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working capital</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operations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for) investment</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property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and facilities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assets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investment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for) financing</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on stock-based awards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beginning of the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338,667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561,781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18"/>
        <w:gridCol w:w="403"/>
        <w:gridCol w:w="404"/>
        <w:gridCol w:w="330"/>
        <w:gridCol w:w="331"/>
        <w:gridCol w:w="196"/>
        <w:gridCol w:w="109"/>
        <w:gridCol w:w="109"/>
        <w:gridCol w:w="109"/>
        <w:gridCol w:w="196"/>
        <w:gridCol w:w="436"/>
        <w:gridCol w:w="109"/>
        <w:gridCol w:w="109"/>
        <w:gridCol w:w="109"/>
        <w:gridCol w:w="109"/>
        <w:gridCol w:w="109"/>
        <w:gridCol w:w="109"/>
        <w:gridCol w:w="109"/>
        <w:gridCol w:w="220"/>
        <w:gridCol w:w="846"/>
        <w:gridCol w:w="122"/>
        <w:gridCol w:w="109"/>
        <w:gridCol w:w="109"/>
        <w:gridCol w:w="109"/>
        <w:gridCol w:w="387"/>
        <w:gridCol w:w="862"/>
        <w:gridCol w:w="216"/>
        <w:gridCol w:w="109"/>
        <w:gridCol w:w="109"/>
        <w:gridCol w:w="109"/>
        <w:gridCol w:w="201"/>
        <w:gridCol w:w="911"/>
        <w:gridCol w:w="112"/>
        <w:gridCol w:w="109"/>
        <w:gridCol w:w="109"/>
        <w:gridCol w:w="109"/>
        <w:gridCol w:w="196"/>
        <w:gridCol w:w="886"/>
        <w:gridCol w:w="161"/>
      </w:tblGrid>
      <w:tr>
        <w:trPr/>
        <w:tc>
          <w:tcPr>
            <w:tcW w:w="71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0"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(thousands)</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36,190</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571,220</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1,503,772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2,074,878</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dividends ($0.22 per share)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on stock-based awards</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35,503</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568,433</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(469)</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1,447,614</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2,015,933</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1595" w:type="dxa"/>
        <w:jc w:val="center"/>
        <w:tblInd w:w="0" w:type="dxa"/>
        <w:tblLayout w:type="fixed"/>
        <w:tblCellMar>
          <w:top w:w="28" w:type="dxa"/>
          <w:left w:w="28" w:type="dxa"/>
          <w:bottom w:w="28" w:type="dxa"/>
          <w:right w:w="28" w:type="dxa"/>
        </w:tblCellMar>
      </w:tblPr>
      <w:tblGrid>
        <w:gridCol w:w="621"/>
        <w:gridCol w:w="282"/>
        <w:gridCol w:w="283"/>
        <w:gridCol w:w="330"/>
        <w:gridCol w:w="331"/>
        <w:gridCol w:w="196"/>
        <w:gridCol w:w="109"/>
        <w:gridCol w:w="109"/>
        <w:gridCol w:w="109"/>
        <w:gridCol w:w="196"/>
        <w:gridCol w:w="436"/>
        <w:gridCol w:w="109"/>
        <w:gridCol w:w="109"/>
        <w:gridCol w:w="109"/>
        <w:gridCol w:w="109"/>
        <w:gridCol w:w="285"/>
        <w:gridCol w:w="286"/>
        <w:gridCol w:w="196"/>
        <w:gridCol w:w="109"/>
        <w:gridCol w:w="109"/>
        <w:gridCol w:w="109"/>
        <w:gridCol w:w="196"/>
        <w:gridCol w:w="751"/>
        <w:gridCol w:w="109"/>
        <w:gridCol w:w="109"/>
        <w:gridCol w:w="109"/>
        <w:gridCol w:w="109"/>
        <w:gridCol w:w="196"/>
        <w:gridCol w:w="751"/>
        <w:gridCol w:w="109"/>
        <w:gridCol w:w="109"/>
        <w:gridCol w:w="109"/>
        <w:gridCol w:w="109"/>
        <w:gridCol w:w="321"/>
        <w:gridCol w:w="715"/>
        <w:gridCol w:w="180"/>
        <w:gridCol w:w="109"/>
        <w:gridCol w:w="109"/>
        <w:gridCol w:w="109"/>
        <w:gridCol w:w="196"/>
        <w:gridCol w:w="886"/>
        <w:gridCol w:w="109"/>
        <w:gridCol w:w="109"/>
        <w:gridCol w:w="109"/>
        <w:gridCol w:w="109"/>
        <w:gridCol w:w="196"/>
        <w:gridCol w:w="88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9"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(thousands)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45,139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6,956</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(341,974)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565,041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1,928,216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2,151,274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purchased</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dividends ($0.21 per share)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on stock-based awards</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45,248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7,439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(396,284)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562,859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1,960,504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2,127,077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Condensed Notes to Unaudited Quarterly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1.    Nature of Operations and Consolidation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Nature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Boise Cascade Company is a building products company headquartered in Boise, Idaho. As used in this Form 10-Q, the terms "Boise Cascade," "we," and "our" refer to Boise Cascade Company and its consolidated subsidiaries. We are one of the largest United States wholesale distributors of building materials and a leading manufacturer of engineered wood products (EWP) and plywood in North America.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our business using two reportable segments: (1) Building Materials Distribution (BMD), which is a wholesale distributor of building materials, and (2) Wood Products, which primarily manufactures EWP and plywood. For more information, see Note 11, 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quarterly consolidated financial statements have not been audited by an independent registered public accounting firm but, in the opinion of management, include all adjustments necessary to present fairly the financial position, results of operations, cash flows, and stockholders' equity for the interim periods presented. Except as disclosed within these condensed notes to unaudited quarterly consolidated financial statements, the adjustments made were of a normal, recurring nature. Certain information and footnote disclosures normally included in our annual consolidated financial statements have been condensed or omitted. The quarterly consolidated financial statements include the accounts of Boise Cascade and its subsidiaries after elimination of intercompany balances and transactions. Quarterly results are not necessarily indicative of results that may be expected for the full year. These condensed notes to unaudited quarterly consolidated financial statements should be read in conjunction with our 2025 Form 10-K and the other reports we file with the Securities and Exchange Commission.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2.    Summary of Significant Accounting Policies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Accounting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complete summary of significant accounting policies is included in Note 2, Summary of Significant Accounting Policies, of the Notes to Consolidated Financial Statements in "Item 8. Financial Statements and Supplementary Data" in our 2025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(GAAP)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legal contingencies; guarantee obligations; indemnifications; assumptions used in retirement, medical, and workers' compensation benefits; assumptions used in the determination of right-of-use (ROU) assets and related lease liabilities; stock-based compensation; fair value measurements; income taxes; and vendor and customer rebates,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We adjust such estimates and assumptions when facts and circumstances dictate. As future events and their effects cannot be determined with precision, actual results could differ significantly from these estimates. Changes in these estimates resulting from continuing changes in the economic environment will be reflected in the consolidated financial statements in future periods.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are recognized when control of the promised goods or services is transferred to our customers, in an amount that reflects the consideration we expect to be entitled to in exchange for those goods or services. For revenue disaggregated by major product line for each reportable segment, see Note 11, 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Fees for shipping and handling charged to customers for sales transactions are included in "Sales" in our Consolidated Statements of Operations. When control over products has transferred to the customer, we have elected to recognize costs related to shipping and handling as fulfillment costs. For our BMD segment, costs related to shipping and handling of $64.6 million and $60.2 million for the three months ended March 31, 2026 and 2025, respectively, are included in "Selling and distribution expenses" in our Consolidated Statements of Operations. In our BMD segment, our activities relate to the purchase and resale of finished products, and excluding shipping and handling costs from "Materials, labor, and other operating expenses (excluding depreciation)" provides us a clearer view of our operating performance and the effectiveness of our sales and purchasing functions. For our Wood Products segment, costs related to shipping and handling are included in "Materials, labor, and other operating expenses (excluding depreciation)" in our Consolidated Statements of Operations. In our Wood Products segment, we view our shipping and handling costs as a cost of the manufacturing process and the movement of product to our end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Rebates and Allowances and Cash Discounts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Rebates are provided to our customers and our customers' customers based on the volume of their purchases, among other factors such as customer loyalty, conversion, and commitment, as well as temporary protection from price increases. We provide the rebates to increase the sell-through of our products. Rebates are generally estimated based on the most likely amount to be paid and recorded as a decrease in "Sales." At March 31, 2026 and December 31, 2025, we had $53.7 million and $83.5 million, respectively, of rebates payable to our customers recorded in "Accrued liabilities, Other" on our Consolidated Balance Sheets. We also estimate expected cash discounts on trade accounts receivable based on an analysis of historical experience and record cash discounts as a decrease in "Sales." We adjust our estimate of revenue at the earlier of when the probability of rebates paid and cash discounts provided changes or when the amounts become fixed. There have not been significant changes to our estimates of rebates, although it is reasonably possible that a change in the estimate may occur.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Vendor Rebates and Allowances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receive rebates and allowances from our vendors under a number of different programs, including vendor marketing programs. At March 31, 2026 and December 31, 2025, we had $11.7 million and $17.4 million, respectively, of vendor rebates and allowances recorded in "Receivables, Other" on our Consolidated Balance Sheets. Rebates and allowances received from our vendors are recognized as a reduction of "Materials, labor, and other operating expenses (excluding depreciation)" when the product is sold, unless the rebates and allowances are linked to a specific incremental cost to sell a vendor's product. Amounts received from vendors that are linked to specific selling and distribution expenses are recognized as a reduction of "Selling and distribution expenses" in the period the expense is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primarily lease land, buildings, and equipment under operating and finance leases. We determine if an arrangement is a lease at inception and assess lease classification as either operating or finance at lease inception or upon modification. Substantially all of our leases with initial terms greater than one year are for real estate, including distribution centers, corporate headquarters, land, and other office space. Substantially all of these lease agreements have fixed payment terms based on the passage of time and are recorded in our BMD segment. Many of our leases include fixed escalation clauses, renewal options and/or termination options that are factored into our determination of lease term and lease payments when appropriate. Renewal options generally range from one to ten years with fixed payment terms similar to those in the original lease agreements. Some lease agreements provide us with the option to purchase the leased property at market value. Our lease agreements do not contain any residual value guarantees.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fixed lease payments over the lease term. The current portion of our operating and finance lease liabilities are recorded in "Accrued liabilities, Other" on our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our estimated incremental borrowing rate, which is derived from information available at the lease commencement date, in determining the present value of lease payments. In determining our incremental borrowing rates, we give consideration to publicly available interest rates for instruments with similar characteristics, including credit rating, term, and collateralization.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determining straight-line rent expense, the lease term is calculated from the date we first take possession of the facility, including any periods of free rent and any renewal option periods we are reasonably certain of exercising. Variable lease expense generally includes reimbursement of actual costs for common area maintenance, property taxes, and insurance on leased real estate and are recorded as incurred. Most of our operating lease expense is recorded in "Selling and distribution expenses" in our Consolidated Statements of Operations. In addition, we do not separate lease and non-lease components for all of our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short-term leases primarily include equipment rentals with lease terms on a month-to-month basis, which provide for our seasonal needs and flexibility in the use of equipment. Our short-term leases also include certain real estate for which either party has the right to cancel upon providing notice of 30 to 90 days. We do not recognize ROU assets or lease liabilities for short-term 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included the following (work in process is not material):</w:t>
      </w:r>
    </w:p>
    <w:p>
      <w:pPr>
        <w:pStyle w:val="TextBody"/>
        <w:bidi w:val="0"/>
        <w:spacing w:before="0" w:after="0"/>
        <w:jc w:val="left"/>
        <w:rPr/>
      </w:pPr>
      <w:r>
        <w:rPr/>
      </w:r>
    </w:p>
    <w:tbl>
      <w:tblPr>
        <w:tblW w:w="6179" w:type="dxa"/>
        <w:jc w:val="left"/>
        <w:tblInd w:w="0" w:type="dxa"/>
        <w:tblLayout w:type="fixed"/>
        <w:tblCellMar>
          <w:top w:w="28" w:type="dxa"/>
          <w:left w:w="28" w:type="dxa"/>
          <w:bottom w:w="28" w:type="dxa"/>
          <w:right w:w="28" w:type="dxa"/>
        </w:tblCellMar>
      </w:tblPr>
      <w:tblGrid>
        <w:gridCol w:w="1108"/>
        <w:gridCol w:w="974"/>
        <w:gridCol w:w="978"/>
        <w:gridCol w:w="109"/>
        <w:gridCol w:w="109"/>
        <w:gridCol w:w="109"/>
        <w:gridCol w:w="211"/>
        <w:gridCol w:w="841"/>
        <w:gridCol w:w="109"/>
        <w:gridCol w:w="109"/>
        <w:gridCol w:w="109"/>
        <w:gridCol w:w="109"/>
        <w:gridCol w:w="228"/>
        <w:gridCol w:w="910"/>
        <w:gridCol w:w="166"/>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Finished goods and work in process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raw materials and supplies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877,795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795,724</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Property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asset classes:</w:t>
      </w:r>
    </w:p>
    <w:p>
      <w:pPr>
        <w:pStyle w:val="TextBody"/>
        <w:bidi w:val="0"/>
        <w:spacing w:before="0" w:after="0"/>
        <w:jc w:val="left"/>
        <w:rPr/>
      </w:pPr>
      <w:r>
        <w:rPr/>
      </w:r>
    </w:p>
    <w:tbl>
      <w:tblPr>
        <w:tblW w:w="8630" w:type="dxa"/>
        <w:jc w:val="left"/>
        <w:tblInd w:w="0" w:type="dxa"/>
        <w:tblLayout w:type="fixed"/>
        <w:tblCellMar>
          <w:top w:w="28" w:type="dxa"/>
          <w:left w:w="28" w:type="dxa"/>
          <w:bottom w:w="28" w:type="dxa"/>
          <w:right w:w="28" w:type="dxa"/>
        </w:tblCellMar>
      </w:tblPr>
      <w:tblGrid>
        <w:gridCol w:w="1918"/>
        <w:gridCol w:w="1681"/>
        <w:gridCol w:w="1710"/>
        <w:gridCol w:w="109"/>
        <w:gridCol w:w="109"/>
        <w:gridCol w:w="109"/>
        <w:gridCol w:w="211"/>
        <w:gridCol w:w="991"/>
        <w:gridCol w:w="109"/>
        <w:gridCol w:w="109"/>
        <w:gridCol w:w="109"/>
        <w:gridCol w:w="109"/>
        <w:gridCol w:w="211"/>
        <w:gridCol w:w="991"/>
        <w:gridCol w:w="154"/>
      </w:tblGrid>
      <w:tr>
        <w:trPr/>
        <w:tc>
          <w:tcPr>
            <w:tcW w:w="1918"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equipment, information technology, and office furniture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Machinery and equipment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in progress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1,155,967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1,157,261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and December 31, 2025, we had $3.7 million and $13.5 million, respectively, of accrued purchases of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fair value hierarchy under GAAP gives the highest priority to quoted market prices (Level 1) and the lowest priority to unobservable inputs (Level 3). In general, and where applicable, we use quoted prices in active markets for identical assets or liabilities to determine fair value (Level 1). If quoted prices in active markets for identical assets or liabilities are not available to determine fair value, we use quoted prices for similar assets and liabilities or inputs that are observable either directly or indirectly (Level 2). If quoted prices for identical or similar assets are not available or are unobservable, we may use internally developed valuation models, whose inputs include bid prices, and third-party valuations utilizing underlying asset assumptions (Level 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instruments are cash and cash equivalents, accounts receivable, accounts payable, and long-term debt. Our cash is recorded at cost, which approximates fair value, and our cash equivalents are money market funds. As of March 31, 2026 and December 31, 2025, we held $324.5 million and $448.7 million, respectively, in money market funds that are measured at fair value on a recurring basis using Level 1 inputs. The recorded values of accounts receivable and accounts payable approximate fair values based on their short-term nature. At March 31, 2026 and December 31, 2025, the book value of our fixed-rate senior notes for each period was $400.0 million, and the fair value was estimated to be $392.8 million and $395.0 million, respectively. The difference between the book value and the fair value is derived from the difference between the period-end market interest rate and the stated rate of our fixed-rate senior notes. We estimated the fair value of our fixed-rate senior notes using quoted market prices of our debt in inactive markets (Level 2 inputs). The interest rate on our variable-rate debt is based on market conditions such as the Secured Overnight Financing Rate (SOFR). Because the interest rate on the variable-rate debt is based on current market conditions, we believe that the estimated fair value of the outstanding balance on our variable-rate debt approximates book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Concentration of Credit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credit risk related to customer accounts receivable. In order to manage credit risk, we consider customer concentrations and current economic trends and monitor the creditworthiness of significant customers based on ongoing credit evaluations. At March 31, 2026, receivables from two customers accounted for approximately 16% and 10% of total receivables. At December 31, 2025, receivables from these two customers accounted for approximately 16% and 12% of total receivables. No other customer accounted for 10% or more of total receivables.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New and Recently Adopted Accounting Standards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November 2024, the Financial Accounting Standards Board (FASB) issued ASU 2024-03,</w:t>
      </w:r>
      <w:r>
        <w:rPr>
          <w:color w:val="000000"/>
        </w:rPr>
        <w:t xml:space="preserve">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The ASU requires disclosure of specified costs and expenses in the notes to financial statements, including purchases of inventory, employee compensation, depreciation and amortization. The amendments in this ASU are effective for annual reporting periods beginning after December 15, 2026, and interim reporting periods beginning after December 15, 2027. Early adoption is permitted. We are currently evaluating the impact of this ASU on the disclosures related to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other accounting standards recently issued that had or are expected to have a material impact on our consolidated financial statements and associated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amounts in prior year's consolidated financial statements have been reclassified to conform with current year's presentation, none of which were considered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3.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we recorded $6.6 million and $13.8 million, respectively, of income tax expense and had an effective tax rate of 27.0% and 25.5%, respectively. For both periods, the primary reason for the difference between the federal statutory income tax rate of 21% and the effective tax rate was the effect of state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cash paid for taxes, net of refunds received, was $0.6 million and $1.5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4.    Net Income Per Common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 is computed by dividing net income by the weighted average number of common shares outstanding during the period. Diluted net income per common share is computed by dividing net income by the combination of the weighted average number of common shares outstanding during the period and other potentially dilutive weighted average common shares. Other potentially dilutive weighted average common shares include the dilutive effect of restricted stock units and performance stock units for each period using the treasury stock method. Under the treasury stock method, the amount of compensation expense, if any, for future service that has not yet been recognized is assumed to be used to repurchase shares in the current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common share:</w:t>
      </w:r>
    </w:p>
    <w:tbl>
      <w:tblPr>
        <w:tblW w:w="10205" w:type="dxa"/>
        <w:jc w:val="left"/>
        <w:tblInd w:w="0" w:type="dxa"/>
        <w:tblLayout w:type="fixed"/>
        <w:tblCellMar>
          <w:top w:w="28" w:type="dxa"/>
          <w:left w:w="28" w:type="dxa"/>
          <w:bottom w:w="28" w:type="dxa"/>
          <w:right w:w="28" w:type="dxa"/>
        </w:tblCellMar>
      </w:tblPr>
      <w:tblGrid>
        <w:gridCol w:w="2456"/>
        <w:gridCol w:w="2158"/>
        <w:gridCol w:w="2184"/>
        <w:gridCol w:w="253"/>
        <w:gridCol w:w="883"/>
        <w:gridCol w:w="130"/>
        <w:gridCol w:w="130"/>
        <w:gridCol w:w="130"/>
        <w:gridCol w:w="130"/>
        <w:gridCol w:w="253"/>
        <w:gridCol w:w="883"/>
        <w:gridCol w:w="130"/>
        <w:gridCol w:w="109"/>
        <w:gridCol w:w="109"/>
        <w:gridCol w:w="109"/>
        <w:gridCol w:w="158"/>
      </w:tblGrid>
      <w:tr>
        <w:trPr/>
        <w:tc>
          <w:tcPr>
            <w:tcW w:w="2456"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 except per-share data)</w:t>
            </w:r>
          </w:p>
        </w:tc>
        <w:tc>
          <w:tcPr>
            <w:tcW w:w="485" w:type="dxa"/>
            <w:gridSpan w:val="4"/>
            <w:tcBorders/>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17,842</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40,348</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during the period (for basic calculation)</w:t>
            </w:r>
          </w:p>
        </w:tc>
        <w:tc>
          <w:tcPr>
            <w:tcW w:w="11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35,909 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38,017 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other potential common shares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and potential common shares (for diluted calculation)</w:t>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 - Basic</w:t>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0.50</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 - Diluted</w:t>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0.50</w:t>
            </w:r>
            <w:r>
              <w:rPr>
                <w:color w:val="000000"/>
              </w:rPr>
              <w:t>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computation of the dilutive effect of other potential common shares excludes stock awards representing 0.1 million shares of common stock in the three months ended March 31, 2026 and an insignificant number of shares of common stock in the three months ended March 31, 2025. Under the treasury stock method, the inclusion of these stock awards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erif" w:hAnsi="Times New Roman;serif"/>
          <w:b/>
          <w:i/>
          <w:color w:val="000000"/>
          <w:sz w:val="20"/>
        </w:rPr>
        <w:t>5.</w:t>
      </w:r>
      <w:r>
        <w:rPr>
          <w:color w:val="000000"/>
        </w:rPr>
        <w:t>    </w:t>
      </w:r>
      <w:r>
        <w:rPr>
          <w:rFonts w:ascii="Times New Roman;serif" w:hAnsi="Times New Roman;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and related costs over the fair value of the net tangible and intangible assets of businesses acquired.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amount of our goodwill by segment is as follows:</w:t>
      </w:r>
    </w:p>
    <w:tbl>
      <w:tblPr>
        <w:tblW w:w="7534" w:type="dxa"/>
        <w:jc w:val="left"/>
        <w:tblInd w:w="0" w:type="dxa"/>
        <w:tblLayout w:type="fixed"/>
        <w:tblCellMar>
          <w:top w:w="28" w:type="dxa"/>
          <w:left w:w="28" w:type="dxa"/>
          <w:bottom w:w="28" w:type="dxa"/>
          <w:right w:w="28" w:type="dxa"/>
        </w:tblCellMar>
      </w:tblPr>
      <w:tblGrid>
        <w:gridCol w:w="1108"/>
        <w:gridCol w:w="973"/>
        <w:gridCol w:w="979"/>
        <w:gridCol w:w="109"/>
        <w:gridCol w:w="109"/>
        <w:gridCol w:w="109"/>
        <w:gridCol w:w="224"/>
        <w:gridCol w:w="784"/>
        <w:gridCol w:w="118"/>
        <w:gridCol w:w="109"/>
        <w:gridCol w:w="109"/>
        <w:gridCol w:w="109"/>
        <w:gridCol w:w="211"/>
        <w:gridCol w:w="841"/>
        <w:gridCol w:w="109"/>
        <w:gridCol w:w="109"/>
        <w:gridCol w:w="109"/>
        <w:gridCol w:w="109"/>
        <w:gridCol w:w="211"/>
        <w:gridCol w:w="84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Building</w:t>
              <w:br/>
              <w:t>Materials</w:t>
              <w:br/>
              <w:t>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Wood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59,220</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126,166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185,386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xml:space="preserve">(a)    Represents a measurement period adjustment related to the acquisition of Holden Humphrey in fourth quarter 2025. For additional information on the acquisition, see Note 6, Acquisitions, of the Notes to Consolidated Financial Statements in "Item 8. Financial Statements and Supplementary Data" in our 2025 Form 10-K. </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At March 31, 2026 and December 31, 2025, intangible assets represented the values assigned to trade names and trademarks and customer relationships.</w:t>
      </w:r>
      <w:r>
        <w:rPr>
          <w:color w:val="3051F2"/>
        </w:rPr>
        <w:t xml:space="preserve"> </w:t>
      </w:r>
      <w:r>
        <w:rPr>
          <w:rFonts w:ascii="Times New Roman;serif" w:hAnsi="Times New Roman;serif"/>
          <w:b w:val="false"/>
          <w:color w:val="000000"/>
          <w:sz w:val="20"/>
        </w:rPr>
        <w:t>We maintain trademarks for our manufactured wood products, particularly EWP. Our key registered trademarks are perpetual in duration as long as we continue to timely file all post registration maintenance documents related thereto. These trademarks have indefinite lives, are not amortized, and have a carrying amount of $8.9 million. In addition, we have acquired trade names and customer relationships through acquisitions, which are amortized over their useful life. For the three months ended March 31, 2026 and 2025 we recognized $5.3 million and $5.1 million, respectively, of amortization expense for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7046" w:type="dxa"/>
        <w:jc w:val="left"/>
        <w:tblInd w:w="0" w:type="dxa"/>
        <w:tblLayout w:type="fixed"/>
        <w:tblCellMar>
          <w:top w:w="28" w:type="dxa"/>
          <w:left w:w="28" w:type="dxa"/>
          <w:bottom w:w="28" w:type="dxa"/>
          <w:right w:w="28" w:type="dxa"/>
        </w:tblCellMar>
      </w:tblPr>
      <w:tblGrid>
        <w:gridCol w:w="874"/>
        <w:gridCol w:w="768"/>
        <w:gridCol w:w="773"/>
        <w:gridCol w:w="109"/>
        <w:gridCol w:w="109"/>
        <w:gridCol w:w="109"/>
        <w:gridCol w:w="237"/>
        <w:gridCol w:w="946"/>
        <w:gridCol w:w="123"/>
        <w:gridCol w:w="109"/>
        <w:gridCol w:w="109"/>
        <w:gridCol w:w="109"/>
        <w:gridCol w:w="224"/>
        <w:gridCol w:w="796"/>
        <w:gridCol w:w="118"/>
        <w:gridCol w:w="109"/>
        <w:gridCol w:w="109"/>
        <w:gridCol w:w="109"/>
        <w:gridCol w:w="211"/>
        <w:gridCol w:w="84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w:t>
              <w:br/>
              <w:t>Amount</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231,678</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(77,273)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154,405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046" w:type="dxa"/>
        <w:jc w:val="left"/>
        <w:tblInd w:w="0" w:type="dxa"/>
        <w:tblLayout w:type="fixed"/>
        <w:tblCellMar>
          <w:top w:w="28" w:type="dxa"/>
          <w:left w:w="28" w:type="dxa"/>
          <w:bottom w:w="28" w:type="dxa"/>
          <w:right w:w="28" w:type="dxa"/>
        </w:tblCellMar>
      </w:tblPr>
      <w:tblGrid>
        <w:gridCol w:w="874"/>
        <w:gridCol w:w="768"/>
        <w:gridCol w:w="773"/>
        <w:gridCol w:w="109"/>
        <w:gridCol w:w="109"/>
        <w:gridCol w:w="109"/>
        <w:gridCol w:w="237"/>
        <w:gridCol w:w="946"/>
        <w:gridCol w:w="123"/>
        <w:gridCol w:w="109"/>
        <w:gridCol w:w="109"/>
        <w:gridCol w:w="109"/>
        <w:gridCol w:w="224"/>
        <w:gridCol w:w="796"/>
        <w:gridCol w:w="118"/>
        <w:gridCol w:w="109"/>
        <w:gridCol w:w="109"/>
        <w:gridCol w:w="109"/>
        <w:gridCol w:w="211"/>
        <w:gridCol w:w="84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w:t>
              <w:br/>
              <w:t>Amount</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231,678</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(72,013)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159,665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6.    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p>
      <w:pPr>
        <w:pStyle w:val="TextBody"/>
        <w:bidi w:val="0"/>
        <w:spacing w:before="0" w:after="0"/>
        <w:jc w:val="left"/>
        <w:rPr/>
      </w:pPr>
      <w:r>
        <w:rPr/>
      </w:r>
    </w:p>
    <w:tbl>
      <w:tblPr>
        <w:tblW w:w="5731" w:type="dxa"/>
        <w:jc w:val="left"/>
        <w:tblInd w:w="0" w:type="dxa"/>
        <w:tblLayout w:type="fixed"/>
        <w:tblCellMar>
          <w:top w:w="28" w:type="dxa"/>
          <w:left w:w="28" w:type="dxa"/>
          <w:bottom w:w="28" w:type="dxa"/>
          <w:right w:w="28" w:type="dxa"/>
        </w:tblCellMar>
      </w:tblPr>
      <w:tblGrid>
        <w:gridCol w:w="1065"/>
        <w:gridCol w:w="934"/>
        <w:gridCol w:w="940"/>
        <w:gridCol w:w="211"/>
        <w:gridCol w:w="841"/>
        <w:gridCol w:w="109"/>
        <w:gridCol w:w="109"/>
        <w:gridCol w:w="109"/>
        <w:gridCol w:w="109"/>
        <w:gridCol w:w="228"/>
        <w:gridCol w:w="910"/>
        <w:gridCol w:w="166"/>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due 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4.875% senior notes due 2030</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 promissory note due 2031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448,148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445,405</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14, 2025, we entered into a Credit Agreement (the Credit Agreement) with JPMorgan Chase Bank, N.A., as administrative agent and a lender, and the other lenders from time to time party thereto. The Credit Agreement provides for a $450 million revolving credit facility (the Revolver), which includes a $45 million swingline sub-facility and a $75 million letter of credit sub-facility. Borrowings under the Revolver may be repaid and re-borrowed from time to time at our discretion without premium or penalty. The proceeds of borrowings under the agreement are available for working capital needs and general business purposes. The Credit Agreement matures on April 12, 2030.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rates under the Credit Agreement are based, at our election, on either an Alternate Base Rate, a Term SOFR Rate, or a Daily Simple SOFR Rate (each as defined in the Credit Agreement), each plus an applicable spread based on our Net Leverage Ratio (as defined in the Credit Agreement). The frequency of interest payments on borrowings under the Credit Agreement is dependent on the type of borrowing outstanding. In addition, we are required to pay an unused commitment fee on the unused portion of the lending commitments. This fee ranges from 0.20% to 0.30% per annum, dependent upon our Net Leverage Ratio.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is secured by a first priority security interest in substantially all of the assets of Boise Cascade Company and the guarantors under the Credit Agreement, except real property and certain other excluded property. The obligations of Boise Cascade Company are required to be guaranteed by all Material Domestic Subsidiaries (as defined in the 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nonfinancial covenants, including but not limited to, restrictions on new indebtedness, liens, dispositions, certain investments, mergers, swap agreements, restricted payments, and restrictions on affiliate transactions. The Credit Agreement also contains a requirement that our Net Leverage Ratio shall not exceed 3.5:1 as of the last day of any fiscal quarter. The restricted payment covenant includes restrictions on our ability to pay dividends or repurchase stock. Among other carve outs from this provision is one that allows us to pay dividends or repurchase stock without any dollar limitation, so long as both before and immediately after giving effect to such payments, (i) no default exists or would result therefrom and (ii) the Net Leverage Ratio is less than or equal to 3:1.</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both March 31, 2026 and December 31, 2025, we had $50.0 million outstanding under the Revolver and $4.9 million of letters of credit outstanding. These letters of credit and borrowings, if any, reduce availability under the Revolver by an equivalent amount. Availability at March 31, 2026 was $395.1 million. During the three months ended March 31, 2026, the average interest rate on borrowings outstanding under the Revolver was approximately 4.91%.</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27, 2020, we issued $400 million of 4.875% senior notes due July 1, 2030 (2030 Notes) through a private placement that was exempt from the registration requirements of the Securities Act. Interest on our 2030 Notes is payable semiannually in arrears on January 1 and July 1. The 2030 Notes are guaranteed by each of our existing and future direct or indirect domestic subsidiaries that is a guarantor under our 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2030 Notes are senior unsecured obligations and rank equally with all of the existing and future senior indebtedness of Boise Cascade Company and of the guarantors, senior to all of their existing and future subordinated indebtedness, effectively subordinated to all of their present and future senior secured indebtedness (including all borrowings with respect to our Credit Agreement to the extent of the value of the assets securing such indebtedness), and structurally subordinated to the indebtedness of any subsidiaries that do not guarantee the 2030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of the indenture governing the 2030 Notes, among other things, limit the ability of Boise Cascade and our restricted subsidiaries to: incur additional debt; declare or pay dividends; redeem stock or make other distributions to stockholders; make investments; create liens on assets; consolidate, merge or transfer substantially all of their assets; enter into transactions with affiliates; and sell or transfer certain assets. The indenture governing the 2030 Notes permits us to pay dividends only if at the time of payment (i) no default has occurred or is continuing (or would result from such payment) under the indenture, and (ii) our consolidated leverage ratio is no greater than 3.5:1, or (iii) the dividend, together with other dividends since the issue date, would not exceed our "builder" basket under the indenture. In addition, the indenture includes certain specific baskets for the payment of dividends.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2030 Notes provides for customary events of default and remedies.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Paid for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cash payments for interest were $10.0 million and $9.2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7.    Leases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Lease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5620" w:type="dxa"/>
        <w:jc w:val="left"/>
        <w:tblInd w:w="0" w:type="dxa"/>
        <w:tblLayout w:type="fixed"/>
        <w:tblCellMar>
          <w:top w:w="28" w:type="dxa"/>
          <w:left w:w="28" w:type="dxa"/>
          <w:bottom w:w="28" w:type="dxa"/>
          <w:right w:w="28" w:type="dxa"/>
        </w:tblCellMar>
      </w:tblPr>
      <w:tblGrid>
        <w:gridCol w:w="1053"/>
        <w:gridCol w:w="925"/>
        <w:gridCol w:w="932"/>
        <w:gridCol w:w="211"/>
        <w:gridCol w:w="631"/>
        <w:gridCol w:w="109"/>
        <w:gridCol w:w="109"/>
        <w:gridCol w:w="109"/>
        <w:gridCol w:w="109"/>
        <w:gridCol w:w="211"/>
        <w:gridCol w:w="631"/>
        <w:gridCol w:w="109"/>
        <w:gridCol w:w="109"/>
        <w:gridCol w:w="109"/>
        <w:gridCol w:w="109"/>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8158" w:type="dxa"/>
        <w:jc w:val="left"/>
        <w:tblInd w:w="0" w:type="dxa"/>
        <w:tblLayout w:type="fixed"/>
        <w:tblCellMar>
          <w:top w:w="28" w:type="dxa"/>
          <w:left w:w="28" w:type="dxa"/>
          <w:bottom w:w="28" w:type="dxa"/>
          <w:right w:w="28" w:type="dxa"/>
        </w:tblCellMar>
      </w:tblPr>
      <w:tblGrid>
        <w:gridCol w:w="2105"/>
        <w:gridCol w:w="1845"/>
        <w:gridCol w:w="1855"/>
        <w:gridCol w:w="211"/>
        <w:gridCol w:w="616"/>
        <w:gridCol w:w="109"/>
        <w:gridCol w:w="109"/>
        <w:gridCol w:w="109"/>
        <w:gridCol w:w="109"/>
        <w:gridCol w:w="211"/>
        <w:gridCol w:w="616"/>
        <w:gridCol w:w="109"/>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7887" w:type="dxa"/>
        <w:jc w:val="left"/>
        <w:tblInd w:w="0" w:type="dxa"/>
        <w:tblLayout w:type="fixed"/>
        <w:tblCellMar>
          <w:top w:w="28" w:type="dxa"/>
          <w:left w:w="28" w:type="dxa"/>
          <w:bottom w:w="28" w:type="dxa"/>
          <w:right w:w="28" w:type="dxa"/>
        </w:tblCellMar>
      </w:tblPr>
      <w:tblGrid>
        <w:gridCol w:w="1419"/>
        <w:gridCol w:w="1246"/>
        <w:gridCol w:w="1250"/>
        <w:gridCol w:w="319"/>
        <w:gridCol w:w="319"/>
        <w:gridCol w:w="801"/>
        <w:gridCol w:w="109"/>
        <w:gridCol w:w="109"/>
        <w:gridCol w:w="109"/>
        <w:gridCol w:w="384"/>
        <w:gridCol w:w="384"/>
        <w:gridCol w:w="957"/>
        <w:gridCol w:w="109"/>
        <w:gridCol w:w="109"/>
        <w:gridCol w:w="109"/>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2533" w:type="dxa"/>
            <w:gridSpan w:val="10"/>
            <w:tcBorders/>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our minimum lease payment requirements for noncancelable operating and finance leases are as follows:</w:t>
      </w:r>
    </w:p>
    <w:tbl>
      <w:tblPr>
        <w:tblW w:w="6863" w:type="dxa"/>
        <w:jc w:val="left"/>
        <w:tblInd w:w="0" w:type="dxa"/>
        <w:tblLayout w:type="fixed"/>
        <w:tblCellMar>
          <w:top w:w="28" w:type="dxa"/>
          <w:left w:w="28" w:type="dxa"/>
          <w:bottom w:w="28" w:type="dxa"/>
          <w:right w:w="28" w:type="dxa"/>
        </w:tblCellMar>
      </w:tblPr>
      <w:tblGrid>
        <w:gridCol w:w="1151"/>
        <w:gridCol w:w="1011"/>
        <w:gridCol w:w="1018"/>
        <w:gridCol w:w="109"/>
        <w:gridCol w:w="109"/>
        <w:gridCol w:w="109"/>
        <w:gridCol w:w="317"/>
        <w:gridCol w:w="1108"/>
        <w:gridCol w:w="164"/>
        <w:gridCol w:w="109"/>
        <w:gridCol w:w="109"/>
        <w:gridCol w:w="109"/>
        <w:gridCol w:w="276"/>
        <w:gridCol w:w="963"/>
        <w:gridCol w:w="201"/>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46,602</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44,828</w:t>
            </w: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undiscounted future lease payments for an additional lease that has not yet commenced are approximately $26 million. This lease is expected to commence in the second half of 2026 with a lease term of approximately 16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8.    Stock-Based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granted two types of stock-based awards: performance stock units (PSUs) and restricted stock units (RSUs).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PSU and RSU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granted 91,368 PSUs to our officers and other employees, subject to performance and service conditions. For the officers, the PSUs granted are subject to a three-year performance period. The number of shares actually awarded will range from 0% to 200% of the target amount. Achievement is measured in annual sub-periods, based on Boise Cascade's return on invested capital (ROIC) for 2026, 2027, and 2028. The average achievement for the three years included in the performance period will determine the number of earned PSUs, as approved by our compensation committee in accordance with the related grant agreement. We define ROIC as net operating profit after taxes (NOPAT) divided by average invested capital (based on a rolling thirteen-month average). We define NOPAT as net income plus after-tax financing expense. Invested capital is defined as total assets plus capitalized lease expense, less cash, cash equivalents, and current liabilities, excluding short-term debt. For the other employees, the PSUs granted are subject to a one-year performance period. The number of shares actually awarded will range from 0% to 200% of the target amount, depending upon Boise Cascade’s 2026 EBITDA, defined as income before interest (interest expense and interest income), income taxes, and depreciation and amortization, as approved by executive management, determined in accordance with the related grant agreement. During the three months ended March 31, 2025, we granted 83,616 PSUs to our officers and other employees, subject to performance and service conditions. For both periods, the PSUs granted to officers generally vest in a single installment three years from the date of grant, while the PSUs granted to other employees vest in three equal tranches each year after the grant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granted an aggregate of 111,613 and 98,327 RSUs, respectively, to our officers, other employees, and nonemployee directors with only service conditions. The RSUs granted to officers and other employees vest in three equal tranches each year after the grant date. The RSUs granted to nonemployee directors vest in a single installment after a one year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based the fair value of PSU and RSU awards on the closing market price of our common stock on the grant date. During the three months ended March 31, 2026 and 2025, the total fair value of PSUs and RSUs vested was $17.2 million and $15.7 million,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activity of our PSUs and RSUs awarded under our incentive plan for the three months ended March 31, 2026:</w:t>
      </w:r>
    </w:p>
    <w:tbl>
      <w:tblPr>
        <w:tblW w:w="10205" w:type="dxa"/>
        <w:jc w:val="left"/>
        <w:tblInd w:w="0" w:type="dxa"/>
        <w:tblLayout w:type="fixed"/>
        <w:tblCellMar>
          <w:top w:w="28" w:type="dxa"/>
          <w:left w:w="28" w:type="dxa"/>
          <w:bottom w:w="28" w:type="dxa"/>
          <w:right w:w="28" w:type="dxa"/>
        </w:tblCellMar>
      </w:tblPr>
      <w:tblGrid>
        <w:gridCol w:w="749"/>
        <w:gridCol w:w="659"/>
        <w:gridCol w:w="661"/>
        <w:gridCol w:w="529"/>
        <w:gridCol w:w="409"/>
        <w:gridCol w:w="385"/>
        <w:gridCol w:w="109"/>
        <w:gridCol w:w="109"/>
        <w:gridCol w:w="109"/>
        <w:gridCol w:w="443"/>
        <w:gridCol w:w="1551"/>
        <w:gridCol w:w="234"/>
        <w:gridCol w:w="109"/>
        <w:gridCol w:w="109"/>
        <w:gridCol w:w="109"/>
        <w:gridCol w:w="529"/>
        <w:gridCol w:w="409"/>
        <w:gridCol w:w="385"/>
        <w:gridCol w:w="109"/>
        <w:gridCol w:w="109"/>
        <w:gridCol w:w="109"/>
        <w:gridCol w:w="440"/>
        <w:gridCol w:w="1509"/>
        <w:gridCol w:w="332"/>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Grant-Date Fair Value</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242,320 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152,293 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111,613 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condition adjustment (a)</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(124,740)</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(83,311)</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March 31, 2026</w:t>
            </w:r>
          </w:p>
        </w:tc>
        <w:tc>
          <w:tcPr>
            <w:tcW w:w="9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203,591</w:t>
            </w:r>
            <w:r>
              <w:rPr>
                <w:color w:val="000000"/>
              </w:rPr>
              <w:t> </w:t>
            </w:r>
          </w:p>
        </w:tc>
        <w:tc>
          <w:tcPr>
            <w:tcW w:w="3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101.42</w:t>
            </w:r>
            <w:r>
              <w:rPr>
                <w:color w:val="000000"/>
              </w:rPr>
              <w:t> </w:t>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180,595</w:t>
            </w:r>
            <w:r>
              <w:rPr>
                <w:color w:val="000000"/>
              </w:rPr>
              <w:t> </w:t>
            </w:r>
          </w:p>
        </w:tc>
        <w:tc>
          <w:tcPr>
            <w:tcW w:w="3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93.78</w:t>
            </w:r>
            <w:r>
              <w:rPr>
                <w:color w:val="000000"/>
              </w:rPr>
              <w:t> </w:t>
            </w:r>
          </w:p>
        </w:tc>
        <w:tc>
          <w:tcPr>
            <w:tcW w:w="3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18"/>
        </w:rPr>
      </w:pPr>
      <w:r>
        <w:rPr>
          <w:rFonts w:ascii="Times New Roman;serif" w:hAnsi="Times New Roman;serif"/>
          <w:b w:val="false"/>
          <w:color w:val="000000"/>
          <w:sz w:val="18"/>
        </w:rPr>
        <w:t>(a)    Represents total PSUs forfeited during the three months ended March 31, 2026, related to below-target achievement of the 2025 performance condition on awards granted to other employees in 2025. During the 2025 performance period, other employees earned 63% of the target based on Boise Cascade's 2025 EBITDA, determined by executive management, in accordance with the related grant agreement.</w:t>
      </w:r>
    </w:p>
    <w:p>
      <w:pPr>
        <w:pStyle w:val="TextBody"/>
        <w:bidi w:val="0"/>
        <w:spacing w:before="0" w:after="0"/>
        <w:ind w:left="0" w:right="0" w:hanging="63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Compensation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compensation expense over the awards' vesting period and account for share-based award forfeitures as they occur, rather than making estimates of future forfeitures. Any shares not vested are forfeited. We recognize compensation expense for stock awards with performance and service conditions over the requisite service period based on the most probable number of shares expected to vest. We recognize compensation expense for stock awards with only service conditions on a straight-line basis over the requisite service period. Most of our stock-based compensation expense was recorded in "General and administrative expenses" in our Consolidated Statements of Operations. Total stock-based compensation recognized from PSUs and RSUs, net of forfeitures, was as follows:</w:t>
      </w:r>
    </w:p>
    <w:p>
      <w:pPr>
        <w:pStyle w:val="TextBody"/>
        <w:bidi w:val="0"/>
        <w:spacing w:before="0" w:after="0"/>
        <w:jc w:val="left"/>
        <w:rPr/>
      </w:pPr>
      <w:r>
        <w:rPr/>
      </w:r>
    </w:p>
    <w:tbl>
      <w:tblPr>
        <w:tblW w:w="3281" w:type="dxa"/>
        <w:jc w:val="left"/>
        <w:tblInd w:w="0" w:type="dxa"/>
        <w:tblLayout w:type="fixed"/>
        <w:tblCellMar>
          <w:top w:w="28" w:type="dxa"/>
          <w:left w:w="28" w:type="dxa"/>
          <w:bottom w:w="28" w:type="dxa"/>
          <w:right w:w="28" w:type="dxa"/>
        </w:tblCellMar>
      </w:tblPr>
      <w:tblGrid>
        <w:gridCol w:w="206"/>
        <w:gridCol w:w="181"/>
        <w:gridCol w:w="184"/>
        <w:gridCol w:w="211"/>
        <w:gridCol w:w="631"/>
        <w:gridCol w:w="109"/>
        <w:gridCol w:w="109"/>
        <w:gridCol w:w="109"/>
        <w:gridCol w:w="109"/>
        <w:gridCol w:w="211"/>
        <w:gridCol w:w="631"/>
        <w:gridCol w:w="109"/>
        <w:gridCol w:w="109"/>
        <w:gridCol w:w="109"/>
        <w:gridCol w:w="109"/>
        <w:gridCol w:w="154"/>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related tax benefit for the three months ended March 31, 2026 and 2025, was $0.9 million and $1.0 million, respectively. As of March 31, 2026, total unrecognized compensation expense related to nonvested share-based compensation arrangements was $25.2 million. This expense is expected to be recognized over a weighted-average period of 2.2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9.    Stockholders' Equity</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14, 2017, we announced that our board of directors approved a dividend policy to pay quarterly cash dividends to holders of our common stock. For more information regarding our dividend declarations and payments made during each of the three months ended March 31, 2026 and 2025, see "Common stock dividends" on our Consolidated Statements of Stockholders' Equity.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2026, our board of directors declared a quarterly dividend of $0.22 per share on our common stock, payable on June 17, 2026, to stockholders of record on June 1, 2026. For a description of the restrictions in our revolving credit facility and the indenture governing our senior notes on our ability to pay dividends, see Note 6, 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dividend declarations, including amount per share, record date and payment date, will be made at the discretion of our board of directors and will depend upon, among other things, legal capital requirements and surplus, our future operations and earnings, general financial condition, material cash requirements, restrictions imposed by our revolving credit facility and the indenture governing our senior notes, applicable laws, and other factors that our board of directors may deem relevant.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Repurchase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30, 2025, our board of directors approved a new share repurchase authorization of $300.0 million of our outstanding common stock, excluding applicable fees and taxes. Share repurchases may be made on an opportunistic basis, through open market transactions, privately negotiated transactions, or by other means in accordance with applicable federal securities laws. We are not obligated to purchase any shares and there is no set date that the share repurchase program will expire. Our board of directors, at its discretion, may increase or decrease the amount authorized or terminate the share repurchase program at any time.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third quarter 2025, our board of directors approved a resolution to retire all outstanding treasury shares previously purchased, as well as a policy to retire all future shares immediately upon repurchase. In accordance with the Company’s policy, the excess cost over par value of retired treasury shares is allocated to retained earnings. Repurchased shares are subject to a 1% excise tax, which is also allocated to retained earnings.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repurchased and retired 830,751 shares at a cost of $65.5 million, or an average of $78.86 per share, exclusive of excise tax. The shares were purchased with cash on hand and were retired in accordance with our board-approved policy. As of March 31, 2026, there was $173.1 million of our outstanding common stock that may yet be purchased under the share repurchase program. During the three months ended March 31, 2025, we repurchased 482,700 shares with cash on hand at a cost of $53.9 million, or an average of $111.63 per share, exclusive of excise tax.</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we repurchased and retired 312,894 shares at a cost of approximately $25 million, or an average of $79.91 per share, exclusive of excise tax. Subsequent to these share repurchases, there was approximately $148 million of our outstanding common stock that may yet be purchased under the share repurchase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10.    Transactions With Related Party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Louisiana Timber Procurement Company, L.L.C. (LTP) is an unconsolidated variable-interest entity that is 50% owned by us and 50% owned by Packaging Corporation of America (PCA). LTP procures sawtimber, pulpwood, residual chips, and other residual wood fiber to meet the wood and fiber requirements of us and PCA in Louisiana. We are not the primary beneficiary of LTP as we do not have power to direct the activities that most significantly affect the economic performance of LTP. Accordingly, we do not consolidate LTP's results in our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Related-party sales to LTP from our Wood Products segment in our Consolidated Statements of Operations were $2.1 million and $1.6 million, respectively, during the three months ended March 31, 2026 and 2025. These sales are recorded in "Sales" in our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Related-party wood fiber purchases from LTP were $18.0 million and $14.8 million, respectively, during the three months ended March 31, 2026 and 2025. These costs are recorded in "Materials, labor, and other operating expenses (excluding depreciation)" in our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11.    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our business using two reportable segments: BMD and Wood Products. There are no differences in our basis of measurement of segment profit or loss from those disclosed in Note 15, Segment Information, of the Notes to Consolidated Financial Statements in "Item 8. Financial Statements and Supplementary Data" in our 2025 Form 10-K.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br/>
        <w:t>    BMD and Wood Products segment sales to external customers, including related parties, by product line, are as follows:</w:t>
      </w:r>
    </w:p>
    <w:tbl>
      <w:tblPr>
        <w:tblW w:w="6039" w:type="dxa"/>
        <w:jc w:val="left"/>
        <w:tblInd w:w="0" w:type="dxa"/>
        <w:tblLayout w:type="fixed"/>
        <w:tblCellMar>
          <w:top w:w="28" w:type="dxa"/>
          <w:left w:w="28" w:type="dxa"/>
          <w:bottom w:w="28" w:type="dxa"/>
          <w:right w:w="28" w:type="dxa"/>
        </w:tblCellMar>
      </w:tblPr>
      <w:tblGrid>
        <w:gridCol w:w="1097"/>
        <w:gridCol w:w="963"/>
        <w:gridCol w:w="969"/>
        <w:gridCol w:w="211"/>
        <w:gridCol w:w="781"/>
        <w:gridCol w:w="109"/>
        <w:gridCol w:w="109"/>
        <w:gridCol w:w="109"/>
        <w:gridCol w:w="109"/>
        <w:gridCol w:w="211"/>
        <w:gridCol w:w="781"/>
        <w:gridCol w:w="109"/>
        <w:gridCol w:w="109"/>
        <w:gridCol w:w="109"/>
        <w:gridCol w:w="109"/>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Building Materials Distribution</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line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wood products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Wood Products (a)</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LVL (b)</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I-joists (b)</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engineered wood products (b)</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Plywood and veneer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Lumber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Byproducts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___________________________________</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(a)    Amounts represent sales to external customers. Sales are calculated after intersegment sales eliminations to our BMD segment.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(b)    Sales of EWP to external customers are net of the cost of all EWP rebates and sales allowances provided at various stages of the supply chain (including distributors, dealers, and homebuilders). For the three months ended March 31, 2026 and 2025, approximately 77% and 73%, respectively, of Wood Products' EWP sales volumes were to our BMD segment.</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analysis of our operations by segment is as follows:</w:t>
      </w:r>
    </w:p>
    <w:tbl>
      <w:tblPr>
        <w:tblW w:w="9595" w:type="dxa"/>
        <w:jc w:val="left"/>
        <w:tblInd w:w="0" w:type="dxa"/>
        <w:tblLayout w:type="fixed"/>
        <w:tblCellMar>
          <w:top w:w="28" w:type="dxa"/>
          <w:left w:w="28" w:type="dxa"/>
          <w:bottom w:w="28" w:type="dxa"/>
          <w:right w:w="28" w:type="dxa"/>
        </w:tblCellMar>
      </w:tblPr>
      <w:tblGrid>
        <w:gridCol w:w="2232"/>
        <w:gridCol w:w="1961"/>
        <w:gridCol w:w="1972"/>
        <w:gridCol w:w="211"/>
        <w:gridCol w:w="991"/>
        <w:gridCol w:w="109"/>
        <w:gridCol w:w="109"/>
        <w:gridCol w:w="109"/>
        <w:gridCol w:w="109"/>
        <w:gridCol w:w="211"/>
        <w:gridCol w:w="991"/>
        <w:gridCol w:w="109"/>
        <w:gridCol w:w="109"/>
        <w:gridCol w:w="109"/>
        <w:gridCol w:w="109"/>
        <w:gridCol w:w="154"/>
      </w:tblGrid>
      <w:tr>
        <w:trPr/>
        <w:tc>
          <w:tcPr>
            <w:tcW w:w="223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Building Materials Distribution</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labor, and other operating expenses (excluding depreciation) (a)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distribution expenses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(b)</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Wood Products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labor, and other operating expenses (excluding depreciation) (a)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(b)</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sales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Materials Distribution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 Products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 (c)</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1,498,614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1,536,494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income</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Materials Distribution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Wood Products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costs (d)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items (e)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(a)    Substantially all costs included in "Materials, labor, and other operating expenses (excluding depreciation)" for our BMD segment are for inventory purchased for resale. "Materials, labor, and other operating expenses (excluding depreciation)" for our Wood Products segment are the costs associated with Wood Products' manufacturing processes, including wood fiber, labor, glues and resins, energy, operating supplies, maintenance materials, freight, and other manufacturing costs.</w:t>
      </w:r>
    </w:p>
    <w:p>
      <w:pPr>
        <w:pStyle w:val="TextBody"/>
        <w:bidi w:val="0"/>
        <w:spacing w:before="0" w:after="0"/>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(b)    Other segment items for our BMD segment includes general and administrative expenses and other income (expense). Other segment items for our Wood Products segment includes selling and distribution expenses, general and administrative expenses, and other income (expense).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(c)    Primarily represents intersegment sales from our Wood Products segment to our BMD segment.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xml:space="preserve">(d)    Unallocated corporate costs include corporate support staff services, and related assets and liabilities. Support services include, but are not limited to, information technology, human resources, finance, accounting, insurance and legal functions. For the three months ended March 31, 2026, unallocated corporate costs includes $1.8 million of estimated insurance losses related to a fire at our Florien plywood facility.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(e)    Other unallocated items include foreign exchange gains and losses, pension expense (excluding service costs) and the change in fair value of interest rate swaps.</w:t>
      </w:r>
    </w:p>
    <w:p>
      <w:pPr>
        <w:pStyle w:val="TextBody"/>
        <w:bidi w:val="0"/>
        <w:spacing w:before="0" w:after="0"/>
        <w:ind w:left="0" w:right="0" w:hanging="720"/>
        <w:jc w:val="left"/>
        <w:rPr/>
      </w:pPr>
      <w:r>
        <w:rPr/>
      </w:r>
    </w:p>
    <w:tbl>
      <w:tblPr>
        <w:tblW w:w="6129" w:type="dxa"/>
        <w:jc w:val="left"/>
        <w:tblInd w:w="0" w:type="dxa"/>
        <w:tblLayout w:type="fixed"/>
        <w:tblCellMar>
          <w:top w:w="28" w:type="dxa"/>
          <w:left w:w="28" w:type="dxa"/>
          <w:bottom w:w="28" w:type="dxa"/>
          <w:right w:w="28" w:type="dxa"/>
        </w:tblCellMar>
      </w:tblPr>
      <w:tblGrid>
        <w:gridCol w:w="974"/>
        <w:gridCol w:w="858"/>
        <w:gridCol w:w="867"/>
        <w:gridCol w:w="211"/>
        <w:gridCol w:w="991"/>
        <w:gridCol w:w="109"/>
        <w:gridCol w:w="109"/>
        <w:gridCol w:w="109"/>
        <w:gridCol w:w="109"/>
        <w:gridCol w:w="211"/>
        <w:gridCol w:w="991"/>
        <w:gridCol w:w="109"/>
        <w:gridCol w:w="109"/>
        <w:gridCol w:w="109"/>
        <w:gridCol w:w="109"/>
        <w:gridCol w:w="154"/>
      </w:tblGrid>
      <w:tr>
        <w:trPr/>
        <w:tc>
          <w:tcPr>
            <w:tcW w:w="97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Materials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 Products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3,341,624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3,241,943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tbl>
      <w:tblPr>
        <w:tblW w:w="5875" w:type="dxa"/>
        <w:jc w:val="left"/>
        <w:tblInd w:w="0" w:type="dxa"/>
        <w:tblLayout w:type="fixed"/>
        <w:tblCellMar>
          <w:top w:w="28" w:type="dxa"/>
          <w:left w:w="28" w:type="dxa"/>
          <w:bottom w:w="28" w:type="dxa"/>
          <w:right w:w="28" w:type="dxa"/>
        </w:tblCellMar>
      </w:tblPr>
      <w:tblGrid>
        <w:gridCol w:w="1071"/>
        <w:gridCol w:w="940"/>
        <w:gridCol w:w="944"/>
        <w:gridCol w:w="211"/>
        <w:gridCol w:w="736"/>
        <w:gridCol w:w="109"/>
        <w:gridCol w:w="109"/>
        <w:gridCol w:w="109"/>
        <w:gridCol w:w="109"/>
        <w:gridCol w:w="211"/>
        <w:gridCol w:w="736"/>
        <w:gridCol w:w="109"/>
        <w:gridCol w:w="109"/>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Materials Distribution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 Products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(a)    2026 capital expenditures for BMD is reported net of a $2.5 million promissory note, which partially funded the purchase of our previously leased distribution facility in Boise, Idaho.</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12.    Commitments, Legal Proceedings and Contingencies, and Guarantees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party to a number of long-term log supply agreements that are discussed in Note 16, Commitments, Legal Proceedings and Contingencies, and Guarantees, of the Notes to Consolidated Financial Statements in "Item 8. Financial Statements and Supplementary Data" in our 2025 Form 10-K. In addition, we have purchase obligations for goods and services, capital expenditures, and raw materials entered into in the normal course of business. As of March 31, 2026, there have been no material changes to the above commitments disclosed in the 2025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Legal Proceedings and Contingencies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party to legal proceedings that arise in the ordinary course of our business, including commercial liability claims, premises claims, environmental claims, employment-related claims, and governmental investigations and audits, among others. In accordance with accounting guidance, the Company establishes an accrual for legal proceedings if and when those matters present loss contingencies that are both probable and reasonably estimable. There may be actual losses in excess of amounts accrued. The Company monitors those matters for developments that would affect the likelihood of a loss (taking into account, where applicable, indemnification arrangements concerning suppliers and insurers) and the accrued amount, if any, thereof, and adjusts the amount as appropriate. If the loss contingency at issue is not both probable and reasonably estimable, the Company does not establish an accrual, but monitors for developments that make the contingency both probable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reasonably estimable. In each case, there is a reasonable possibility that a loss may be incurred, including a loss in excess of the applicable accrual. For matters where no accrual has been recorded, the possible loss or range of loss (including any loss in excess of the accrual) cannot, in the Company's view, be reasonably estimated because, among other things: the remedies or penalties sought are indeterminate or unspecified; the legal and/or factual theories are not well developed; and/or the matters involve complex or novel legal theories or a large number of parties. The Company has recorded an accrual with respect to a matter described below, in addition to other immaterial accruals for matters not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22, 2024, our distribution facility in Pompano, Florida, was put on notice of an investigation by the Department of Homeland Security’s Immigration and Customs Enforcement. The requested information, primarily documentation, related to the importation of certain third-party produced plywood products in accordance with the Lacey Act. On April 27, 2026, the Company and the Department of Justice ("DOJ") entered into a plea agreement under which the Company pled guilty to one felony count under the Lacey Act and agreed, among other things, to pay a fine of approximately $6.4 million and serve five years' probation. The plea agreement was accepted by the U.S. District Court for the Southern District of Florida and the matter concluded on the same day. The fine was previously recorded in other current liabilities and other (income) and expense, net, during fourth quarter 2025.</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believe that any pending claim, proceeding or litigation, either alone or in the aggregate, will have a material adverse effect on the Company’s financial position, results of operations or cash flows; it is possible that an unfavorable outcome of some or all of the matters, however unlikely, could result in a charge that might be material to the results of an individual fiscal quarter 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Guarantees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provide guarantees, indemnifications, and assurances to others. Note 16, Commitments, Legal Proceedings and Contingencies, and Guarantees, of the Notes to Consolidated Financial Statements in "Item 8. Financial Statements and Supplementary Data" in our 2025 Form 10-K describes the nature of our guarantees, including the approximate terms of the guarantees, how the guarantees arose, the events or circumstances that would require us to perform under the guarantees, and the maximum potential undiscounted amounts of future payments we could be required to make. As of March 31, 2026, there have been no material changes to the guarantees disclosed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1260"/>
        <w:jc w:val="left"/>
        <w:rPr>
          <w:rFonts w:ascii="Times New Roman;serif" w:hAnsi="Times New Roman;serif"/>
          <w:b/>
          <w:i/>
          <w:color w:val="000000"/>
          <w:sz w:val="22"/>
        </w:rPr>
      </w:pPr>
      <w:r>
        <w:rPr>
          <w:rFonts w:ascii="Times New Roman;serif" w:hAnsi="Times New Roman;serif"/>
          <w:b/>
          <w:i/>
          <w:color w:val="000000"/>
          <w:sz w:val="22"/>
        </w:rPr>
        <w:t>ITEM 2.    MANAGEMENT'S DISCUSSION AND ANALYSIS OF FINANCIAL CONDITION AND RESULTS OF OPERATIONS</w:t>
      </w:r>
    </w:p>
    <w:p>
      <w:pPr>
        <w:pStyle w:val="TextBody"/>
        <w:bidi w:val="0"/>
        <w:spacing w:before="0" w:after="0"/>
        <w:ind w:left="0" w:right="0" w:hanging="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Understanding Our Financial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should be read in conjunction with our consolidated financial statements and related notes in "Item 1. Financial Statements" of this Form 10-Q, as well as our 2025 Form 10-K. The following discussion includes statements regarding our expectations with respect to our future performance, liquidity, and capital resources. Such statements, along with any other non-historical statements in the discussion, are forward-looking. These forward-looking statements include, without limitation, any statement that may predict, indicate, or imply future results, performance, or achievements and may contain the words "may," "will," "expect," "believe," "should," "plan," "anticipate," and other similar expressions. All of these forward-looking statements are based on estimates and assumptions made by our management that, although believed by us to be reasonable, are inherently uncertain. These forward-looking statements are subject to numerous risks and uncertainties, including, but not limited to, the risks and uncertainties described in "Item 1A. Risk Factors" in our 2025 Form 10-K, as well as those factors listed in other documents we file with the Securities and Exchange Commission (the SEC). We do not assume an obligation to update any forward-looking statement. Our future actual results may differ materially from those contained in or implied by any of the forward-looking statements in this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Background</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Boise Cascade Company is a building products company headquartered in Boise, Idaho. As used in this Form 10-Q, the terms "Boise Cascade," "we," and "our" refer to Boise Cascade Company and its consolidated subsidiaries. Boise Cascade is a large, integrated building materials distributor and wood products manufacturer with widespread operations throughout the United States (U.S.) and one manufacturing facility in Canada. We have two reportable segments: (i) Building Materials Distribution (BMD), which is a wholesale distributor of building materials; and (ii) Wood Products, which primarily manufactures engineered wood products (EWP) and plywood. Our products are used in the construction of new residential housing, including single-family, multi-family, and manufactured homes, the repair-and-remodeling of existing housing, the construction of light industrial and commercial buildings, and other industrial applications. For more information, see Note 11, Segment Information, of the Condensed Notes to Unaudited Quarterly Consolidated Financial Statements in "Item 1. Financial Statements"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Executive Overview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recorded income from operations of $27.8 million during the three months ended March 31, 2026, compared with income from operations of $54.5 million during the three months ended March 31, 2025.</w:t>
      </w:r>
      <w:r>
        <w:rPr>
          <w:color w:val="0094FF"/>
        </w:rPr>
        <w:t xml:space="preserve"> </w:t>
      </w:r>
      <w:r>
        <w:rPr>
          <w:rFonts w:ascii="Times New Roman;serif" w:hAnsi="Times New Roman;serif"/>
          <w:b w:val="false"/>
          <w:color w:val="000000"/>
          <w:sz w:val="20"/>
        </w:rPr>
        <w:t>In our BMD segment, income decreased $15.5 million to $32.9 million for the three months ended March 31, 2026, from $48.4 million for the three months ended March 31, 2025. The decrease in segment income was driven by increased selling and distribution expenses of $8.2 million, as well as a $6.5 million gross margin decrease, resulting primarily from lower gross margins on all product lines, particularly EWP. In our Wood Products segment, income decreased $9.2 million to $8.5 million for the three months ended March 31, 2026, from $17.7 million for the three months ended March 31, 2025.</w:t>
      </w:r>
      <w:r>
        <w:rPr>
          <w:color w:val="0094FF"/>
        </w:rPr>
        <w:t xml:space="preserve"> </w:t>
      </w:r>
      <w:r>
        <w:rPr>
          <w:rFonts w:ascii="Times New Roman;serif" w:hAnsi="Times New Roman;serif"/>
          <w:b w:val="false"/>
          <w:color w:val="000000"/>
          <w:sz w:val="20"/>
        </w:rPr>
        <w:t>The decrease in segment income was primarily due to lower EWP sales prices, as well as higher per-unit EWP conversion costs.</w:t>
      </w:r>
      <w:r>
        <w:rPr>
          <w:color w:val="0094FF"/>
        </w:rPr>
        <w:t xml:space="preserve"> </w:t>
      </w:r>
      <w:r>
        <w:rPr>
          <w:rFonts w:ascii="Times New Roman;serif" w:hAnsi="Times New Roman;serif"/>
          <w:b w:val="false"/>
          <w:color w:val="000000"/>
          <w:sz w:val="20"/>
        </w:rPr>
        <w:t>These decreases in segment income were offset partially by lower per-unit OSB costs, as well as higher plywood sales volumes and sales prices. These changes are discussed further in "Our Operating Results"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ended first quarter 2026 with $338.7 million of cash and cash equivalents and $395.1 million of undrawn committed bank line availability, for total available liquidity of $733.8 million. We had $452.5 million of outstanding debt at March 31, 2026. We used $138.5 million of cash during the three months ended March 31, 2026,</w:t>
      </w:r>
      <w:r>
        <w:rPr>
          <w:color w:val="0094FF"/>
        </w:rPr>
        <w:t xml:space="preserve"> </w:t>
      </w:r>
      <w:r>
        <w:rPr>
          <w:rFonts w:ascii="Times New Roman;serif" w:hAnsi="Times New Roman;serif"/>
          <w:b w:val="false"/>
          <w:color w:val="000000"/>
          <w:sz w:val="20"/>
        </w:rPr>
        <w:t>to fund seasonal working capital increases, capital spending, share repurchases, and dividends paid on our common stock. A further description of our cash sources and uses for the three-month comparative periods are discussed in "Liquidity and Capital Resources"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Demand for the products we purchase and distribute, as well as the products we manufacture, is closely tied to new residential construction, residential repair-and-remodeling activity, and light commercial construction. Residential construction, particularly new single-family construction, remains a key demand driver for the products we distribute and manufacture. The operating environment during the first quarter of 2026 presented a mix of opportunities and challenges. For much of the quarter, mortgage rates declined to their lowest levels in over three years. However, recent geopolitical turmoil has led to volatility in treasury and mortgage rates alike, casting unpredictability on the remainder of the spring selling season. Consumer sentiment and home affordability challenges persist as the most prominent headwinds to residential construction activity. In addition, home builders are responding to the cautious demand environment with thoughtful approaches to starts, home sizes, location, and inventory. Long-term demand drivers for residential construction, including generational tailwinds and an undersupply of housing units, remain strong, while elevated levels of homeowner equity and an aging U.S. housing stock support robust repair-and-remodel spending and reinforce the industry’s solid fundamentals.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distribution business, which purchases and resells a diverse range of products, experiences opportunities for increased sales and margins during periods of rising prices, while periods of declining prices may present challenges. Future product pricing, particularly for commodity products we distribute and manufacture, is expected to remain dynamic, influenced by economic and geopolitical conditions, input costs, industry operating rates, supply disruptions, duties, tariffs, cost and availability of transportation, inventory levels, and seasonal demand patterns. We will continue to monitor end market demand signals and align production rates and inventory stocking positions accordingly.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Factors That Affect Our Operating Results and Trends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results of operations and financial performance are influenced by a variety of factors,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commodity nature of a portion of our products and their price movements, which are driven largely by general economic conditions, industry capacity and operating rates, industry cycles that affect supply and demand, and net import and export activity;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highly competitive nature of our industry;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declines in demand for our products due to competing technologies or materials, as well as changes in building code provisions;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to information systems used to process and store customer, employee, and vendor information, as well as the technology that manages our operations and other business processes;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material disruptions and/or major equipment failure at our manufacturing facilities;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declining demand for residual byproducts, particularly wood chips generated in our manufacturing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labor disruptions, shortages of skilled and technical labor, or increased labor costs;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shortages, loss of key suppliers, and our dependence on third-party suppliers and manufacturers;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and availability of third-party transportation services used to deliver the goods we distribute and manufacture, as well as our raw materials;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 and availability of raw materials, particularly wood fiber;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need to successfully formulate and implement succession plans for key members of our management team;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execute our organic growth and acquisition strategies efficiently and effectively;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failures or delays with new or existing technology systems and software platforms;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pursue our long-term growth strategy related to innovation and digital technology;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concentration of our sales among a relatively small group of customers, as well as the financial condition and creditworthiness of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impairment of our long-lived assets, goodwill, and/or intangible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substantial ongoing capital investment costs, including those associated with organic growth and acquisitions, and the difficulty in offsetting fixed costs related to those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indebtedness, including the possibility that we may not generate sufficient cash flows from operations or that future borrowings may not be available in amounts sufficient to fulfill our debt obligations and fund other liquidity needs;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restrictive covenants contained in our debt agreements;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or failure to comply with laws and regulations;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foreign trade policy, including the imposition of tariffs;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data privacy and security laws and regulations;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impacts of climate change and related legislative and regulatory responses intended to reduce climate change;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 of compliance with government regulations, in particular, environmental regulations;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exposure to product liability, product warranty, casualty, construction defect, and other claims;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the market for our equity;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other factors described in "Item 1A. Risk Factors"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Our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operating results in dollars and as a percentage of sales for the three months ended March 31, 2026 and 2025:</w:t>
      </w:r>
    </w:p>
    <w:p>
      <w:pPr>
        <w:pStyle w:val="TextBody"/>
        <w:bidi w:val="0"/>
        <w:spacing w:before="0" w:after="0"/>
        <w:jc w:val="left"/>
        <w:rPr/>
      </w:pPr>
      <w:r>
        <w:rPr/>
      </w:r>
    </w:p>
    <w:tbl>
      <w:tblPr>
        <w:tblW w:w="9274" w:type="dxa"/>
        <w:jc w:val="left"/>
        <w:tblInd w:w="0" w:type="dxa"/>
        <w:tblLayout w:type="fixed"/>
        <w:tblCellMar>
          <w:top w:w="28" w:type="dxa"/>
          <w:left w:w="28" w:type="dxa"/>
          <w:bottom w:w="28" w:type="dxa"/>
          <w:right w:w="28" w:type="dxa"/>
        </w:tblCellMar>
      </w:tblPr>
      <w:tblGrid>
        <w:gridCol w:w="2134"/>
        <w:gridCol w:w="1878"/>
        <w:gridCol w:w="1898"/>
        <w:gridCol w:w="211"/>
        <w:gridCol w:w="766"/>
        <w:gridCol w:w="301"/>
        <w:gridCol w:w="109"/>
        <w:gridCol w:w="109"/>
        <w:gridCol w:w="109"/>
        <w:gridCol w:w="211"/>
        <w:gridCol w:w="766"/>
        <w:gridCol w:w="301"/>
        <w:gridCol w:w="109"/>
        <w:gridCol w:w="109"/>
        <w:gridCol w:w="109"/>
        <w:gridCol w:w="154"/>
      </w:tblGrid>
      <w:tr>
        <w:trPr/>
        <w:tc>
          <w:tcPr>
            <w:tcW w:w="213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labor, and other operating expenses (excluding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distribution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sales)</w:t>
            </w:r>
          </w:p>
        </w:tc>
        <w:tc>
          <w:tcPr>
            <w:tcW w:w="481" w:type="dxa"/>
            <w:gridSpan w:val="4"/>
            <w:tcBorders/>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labor, and other operating expenses (excluding depreciation)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distribution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 Volumes and Prices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Set forth below are historical U.S. housing starts data, sales mix and gross margin information for our BMD segment, and segment sales volumes and average net selling prices for the principal products sold by our Wood Products segment for the three months ended March 31, 2026 and 2025:</w:t>
      </w:r>
    </w:p>
    <w:tbl>
      <w:tblPr>
        <w:tblW w:w="7444" w:type="dxa"/>
        <w:jc w:val="left"/>
        <w:tblInd w:w="0" w:type="dxa"/>
        <w:tblLayout w:type="fixed"/>
        <w:tblCellMar>
          <w:top w:w="28" w:type="dxa"/>
          <w:left w:w="28" w:type="dxa"/>
          <w:bottom w:w="28" w:type="dxa"/>
          <w:right w:w="28" w:type="dxa"/>
        </w:tblCellMar>
      </w:tblPr>
      <w:tblGrid>
        <w:gridCol w:w="1335"/>
        <w:gridCol w:w="1175"/>
        <w:gridCol w:w="1180"/>
        <w:gridCol w:w="211"/>
        <w:gridCol w:w="991"/>
        <w:gridCol w:w="271"/>
        <w:gridCol w:w="109"/>
        <w:gridCol w:w="109"/>
        <w:gridCol w:w="109"/>
        <w:gridCol w:w="211"/>
        <w:gridCol w:w="991"/>
        <w:gridCol w:w="271"/>
        <w:gridCol w:w="109"/>
        <w:gridCol w:w="109"/>
        <w:gridCol w:w="109"/>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Housing Starts (a)</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Sales</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Materials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 Products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1,498,614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1,536,494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BMD sales)</w:t>
            </w:r>
          </w:p>
        </w:tc>
        <w:tc>
          <w:tcPr>
            <w:tcW w:w="481" w:type="dxa"/>
            <w:gridSpan w:val="4"/>
            <w:tcBorders/>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Building Materials Distribution</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Product Line Sales</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line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wood products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percentage (b)</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Wood Products</w:t>
            </w:r>
          </w:p>
        </w:tc>
        <w:tc>
          <w:tcPr>
            <w:tcW w:w="32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Volumes</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Laminated veneer lumber (LVL) (cubic feet)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I-joists (equivalent lineal feet)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Plywood (sq. ft.) (3/8" basis)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Wood Products</w:t>
            </w:r>
          </w:p>
        </w:tc>
        <w:tc>
          <w:tcPr>
            <w:tcW w:w="32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per unit)</w:t>
            </w:r>
          </w:p>
        </w:tc>
        <w:tc>
          <w:tcPr>
            <w:tcW w:w="481" w:type="dxa"/>
            <w:gridSpan w:val="4"/>
            <w:tcBorders/>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Average Net Selling Prices</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LVL (cubic foot)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I-joists (1,000 equivalent lineal feet)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Plywood (1,000 sq. ft.) (3/8" basis)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(a)    Actual U.S. housing starts as reported by the U.S. Census Bureau.</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(b)    We define gross margin as "Sales" less "Materials, labor, and other operating expenses (excluding depreciation)." Substantially all costs included in "Materials, labor, and other operating expenses (excluding depreciation)" for our BMD segment are for inventory purchased for resale. Gross margin percentage is gross margin as a percentage of segment sales.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total sales decreased $37.9 million, or 2%, to $1,498.6 million from $1,536.5 million during the three months ended March 31, 2025. As described below, the decrease in sales was driven by the changes in sales prices and volumes for the products we distribute and manufacture with single-family residential construction activity being the key demand driver for our sales. In first quarter 2026, total U.S. housing starts increased 1% while single-family housing starts decreased 5%, compared with the same period in 2025. Average composite panel and average composite lumber prices for the three months ended March 31, 2026 were 15% and 5% lower, respectively, than in the same period in the prior year, as reflected by Random Lengths composite panel and composite lumber pricing.</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Building Materials Distribution.</w:t>
      </w:r>
      <w:r>
        <w:rPr>
          <w:color w:val="000000"/>
        </w:rPr>
        <w:t xml:space="preserve">  </w:t>
      </w:r>
      <w:r>
        <w:rPr>
          <w:rFonts w:ascii="Times New Roman;serif" w:hAnsi="Times New Roman;serif"/>
          <w:b w:val="false"/>
          <w:color w:val="000000"/>
          <w:sz w:val="20"/>
        </w:rPr>
        <w:t>Sales decreased</w:t>
      </w:r>
      <w:r>
        <w:rPr>
          <w:color w:val="000000"/>
        </w:rPr>
        <w:t xml:space="preserve"> </w:t>
      </w:r>
      <w:r>
        <w:rPr>
          <w:rFonts w:ascii="Times New Roman;serif" w:hAnsi="Times New Roman;serif"/>
          <w:b w:val="false"/>
          <w:color w:val="000000"/>
          <w:sz w:val="20"/>
        </w:rPr>
        <w:t>$18.2 million, or 1%, to $1,388.9 million for the three months ended March 31, 2026, from $1,407.1 million for the three months ended March 31, 2025. Compared with the same quarter in the prior year, the overall decrease in sales was driven by net sales price decreases of 3%, offset partially by net sales volume increases of 2%. By product line, general line product sales increased 4%, or $25.4 million; commodity sales decreased 5%, or $24.1 million; and EWP sales (substantially all of which are sourced through our Wood Products segment) decreased 7%, or $19.5 million.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Wood Products.</w:t>
      </w:r>
      <w:r>
        <w:rPr>
          <w:color w:val="000000"/>
        </w:rPr>
        <w:t xml:space="preserve">  </w:t>
      </w:r>
      <w:r>
        <w:rPr>
          <w:rFonts w:ascii="Times New Roman;serif" w:hAnsi="Times New Roman;serif"/>
          <w:b w:val="false"/>
          <w:color w:val="000000"/>
          <w:sz w:val="20"/>
        </w:rPr>
        <w:t>Sales, including sales to our BMD segment, decreased $17.6 million, or 4%, to $398.2 million for the three months ended March 31, 2026, from $415.8 million for the three months ended March 31, 2025. The decrease in sales was driven by lower sales prices of 7% for both LVL and I-joists (collectively referred to as EWP), resulting in decreased sales of $8.5 million and $6.9 million, respectively. Additionally, sales volumes for I-joists and LVL decreased by 5% and 1%, respectively, resulting in decreased sales of $5.1 million and $1.4 million, respectively. These decreases were offset partially by higher plywood sales volumes and sales prices of 3% and 1%, respectively, resulting in increased sales of $4.5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Materials, labor, and other operating expenses (excluding depreciation) decreased $21.1 million, or 2%, to $1,255.1 million for the three months ended March 31, 2026, compared with $1,276.2 million during the same period in the prior year. In BMD, the decrease in materials, labor, and other operating expenses was driven by lower purchased materials costs as a result of lower prices, offset partially by increased sales volumes, compared with first quarter 2025. However, materials, labor, and other operating expenses as a percentage of sales (MLO rate) in our BMD segment increased 30 basis points, driven by lower margin percentages on general line and EWP products. In our Wood Products segment, materials, labor, and other operating expenses decreased due to reduced purchases of external veneer for our Alexandria EWP mill, as operations resumed at our Oakdale veneer and plywood mill following planned downtime to complete significant mill modernization projects in 2025. Additionally, lower per-unit costs of OSB (used in the manufacture of I-joists), lower other manufacturing costs, and decreased EWP sales volumes contributed to the decrease in MLO. These decreases were offset partially by higher labor costs compared with first quarter 2025. However, the MLO rate in our Wood Products segment increased by 150 basis points, primarily as the result of lower EWP sales prices and volumes, which resulted in decreased leveraging of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$1.9 million, or 5%, to $39.1 million for the three months ended March 31, 2026, compared with $37.1 million during the same period in the prior year. The increase was primarily due to acquisition and organic growth in our BMD segment and the recent investments at our Oakdale veneer and plywood mill.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Selling and distribution expenses increased $6.8 million, or 5%, to $150.4 million for the three months ended March 31, 2026, compared with $143.6 million during the same period in the prior year.</w:t>
      </w:r>
      <w:r>
        <w:rPr>
          <w:color w:val="0094FF"/>
        </w:rPr>
        <w:t xml:space="preserve"> </w:t>
      </w:r>
      <w:r>
        <w:rPr>
          <w:rFonts w:ascii="Times New Roman;serif" w:hAnsi="Times New Roman;serif"/>
          <w:b w:val="false"/>
          <w:color w:val="000000"/>
          <w:sz w:val="20"/>
        </w:rPr>
        <w:t>The increase was due to higher employee-related expenses of $4.9 million, as well as higher shipping and handling costs of $2.3 million.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General and administrative expenses increased $1.3 million, or 5%, to $26.3 million for the three months ended March 31, 2026, compared with $25.0 million for the same period in the prior year.</w:t>
      </w:r>
      <w:r>
        <w:rPr>
          <w:color w:val="0094FF"/>
        </w:rPr>
        <w:t xml:space="preserve"> </w:t>
      </w:r>
      <w:r>
        <w:rPr>
          <w:rFonts w:ascii="Times New Roman;serif" w:hAnsi="Times New Roman;serif"/>
          <w:b w:val="false"/>
          <w:color w:val="000000"/>
          <w:sz w:val="20"/>
        </w:rPr>
        <w:t>The increase was due primarily to higher employee-related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From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from operations decreased $26.7 million to $27.8 million for the three months ended March 31, 2026, compared with $54.5 million for the three months ended March 31,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Building Materials Distribution.</w:t>
      </w:r>
      <w:r>
        <w:rPr>
          <w:color w:val="000000"/>
        </w:rPr>
        <w:t xml:space="preserve">  </w:t>
      </w:r>
      <w:r>
        <w:rPr>
          <w:rFonts w:ascii="Times New Roman;serif" w:hAnsi="Times New Roman;serif"/>
          <w:b w:val="false"/>
          <w:color w:val="000000"/>
          <w:sz w:val="20"/>
        </w:rPr>
        <w:t>Segment income decreased $15.5 million to $32.9 million for the three months ended March 31, 2026, from $48.4 million for the three months ended March 31, 2025. The decrease in segment income was driven by increased selling and distribution expenses of $8.2 million, as well as a $6.5 million gross margin decrease, resulting from lower gross margins on all product lines, particularly EWP</w:t>
      </w:r>
      <w:r>
        <w:rPr>
          <w:rFonts w:ascii="Times New Roman;serif" w:hAnsi="Times New Roman;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Wood Products. </w:t>
      </w:r>
      <w:r>
        <w:rPr>
          <w:color w:val="000000"/>
        </w:rPr>
        <w:t xml:space="preserve"> </w:t>
      </w:r>
      <w:r>
        <w:rPr>
          <w:rFonts w:ascii="Times New Roman;serif" w:hAnsi="Times New Roman;serif"/>
          <w:b w:val="false"/>
          <w:color w:val="000000"/>
          <w:sz w:val="20"/>
        </w:rPr>
        <w:t>Segment income decreased $9.2 million to $8.5 million for the three months ended March 31, 2026, from $17.7 million for the three months ended March 31, 2025.</w:t>
      </w:r>
      <w:r>
        <w:rPr>
          <w:color w:val="8C56EE"/>
        </w:rPr>
        <w:t xml:space="preserve"> </w:t>
      </w:r>
      <w:r>
        <w:rPr>
          <w:rFonts w:ascii="Times New Roman;serif" w:hAnsi="Times New Roman;serif"/>
          <w:b w:val="false"/>
          <w:color w:val="000000"/>
          <w:sz w:val="20"/>
        </w:rPr>
        <w:t>The decrease in segment income was primarily due to lower EWP sales prices, as well as higher per-unit EWP conversion costs.</w:t>
      </w:r>
      <w:r>
        <w:rPr>
          <w:color w:val="0094FF"/>
        </w:rPr>
        <w:t xml:space="preserve"> </w:t>
      </w:r>
      <w:r>
        <w:rPr>
          <w:rFonts w:ascii="Times New Roman;serif" w:hAnsi="Times New Roman;serif"/>
          <w:b w:val="false"/>
          <w:color w:val="000000"/>
          <w:sz w:val="20"/>
        </w:rPr>
        <w:t>These decreases in segment income were offset partially by lower per-unit OSB costs, as well as higher plywood sales volumes and sales prices. Additionally, operations resumed at our Oakdale veneer and plywood mill following planned downtime in 2025 to complete significant mill modernization projects, which provided a favorable impact on per-unit conversion costs.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Corporate.</w:t>
      </w:r>
      <w:r>
        <w:rPr>
          <w:color w:val="000000"/>
        </w:rPr>
        <w:t xml:space="preserve">  </w:t>
      </w:r>
      <w:r>
        <w:rPr>
          <w:rFonts w:ascii="Times New Roman;serif" w:hAnsi="Times New Roman;serif"/>
          <w:b w:val="false"/>
          <w:color w:val="000000"/>
          <w:sz w:val="20"/>
        </w:rPr>
        <w:t>Unallocated corporate expenses increased $2.0 million to $13.6 million for the three months ended March 31, 2026, from $11.6 million for the same period in the prior year. The increase was primarily due to the absorption of approximately $1.8 million of estimated insurance losses related to a fire at our Florien plywood facility in first quarter 2026, in accordance with our self-insured risk retention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Interest income decreased $2.6 million to $2.9 million for the three months ended March 31, 2026, from $5.5 million for the same period in the prior year. The decrease was due primarily to lower average balances of cash equivalents, as well as lower interest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we recorded $6.6 million and $13.8 million, respectively, of income tax expense and had an effective tax rate of 27.0% and 25.5%, respectively. For both periods, the primary reason for the difference between the federal statutory income tax rate of 21% and the effective tax rate was the effect of state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ended first quarter 2026 with $338.7 million of cash and cash equivalents and $452.5 million of debt. At March 31, 2026, we had $733.8 million of available liquidity (cash and cash equivalents and undrawn committed bank line availability). Our cash and cash equivalents decreased by $138.5 million during the three months ended March 31, 2026, as we used cash to fund seasonal working capital increases, capital spending, share repurchases, and dividends paid on our common stock. Further descriptions of our cash sources and uses for the three-month comparative periods are noted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cash flows from operations, combined with our current cash levels and available borrowing capacity, will be adequate to fund debt service requirements and provide cash, as required, to support our ongoing operations, capital expenditures, lease obligations, working capital, income tax payments, and to pay cash dividends to holders of our common stock over the next 12 months. We expect to fund our seasonal and intra-month working capital requirements in 2026 from cash on hand and, if necessary, borrowings under our revolving credit facility.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Sources and Uses of Cash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 cash primarily from sales of our products, as well as short-term and long-term borrowings. Our primary uses of cash are for expenses related to the distribution and manufacture of building products, including inventory purchased for resale, wood fiber, labor, energy, and glues and resins. In addition to paying for ongoing operating costs, we use cash to invest in our business, service our debt and lease obligations, and return cash to our stockholders through dividends or common stock repurchases. Below is a discussion of our sources and uses of cash for operating activities, investing activities, and financing activities.</w:t>
      </w:r>
    </w:p>
    <w:tbl>
      <w:tblPr>
        <w:tblW w:w="5048" w:type="dxa"/>
        <w:jc w:val="left"/>
        <w:tblInd w:w="0" w:type="dxa"/>
        <w:tblLayout w:type="fixed"/>
        <w:tblCellMar>
          <w:top w:w="28" w:type="dxa"/>
          <w:left w:w="28" w:type="dxa"/>
          <w:bottom w:w="28" w:type="dxa"/>
          <w:right w:w="28" w:type="dxa"/>
        </w:tblCellMar>
      </w:tblPr>
      <w:tblGrid>
        <w:gridCol w:w="884"/>
        <w:gridCol w:w="779"/>
        <w:gridCol w:w="781"/>
        <w:gridCol w:w="211"/>
        <w:gridCol w:w="796"/>
        <w:gridCol w:w="109"/>
        <w:gridCol w:w="109"/>
        <w:gridCol w:w="109"/>
        <w:gridCol w:w="109"/>
        <w:gridCol w:w="211"/>
        <w:gridCol w:w="79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For the three months ended March 31, 2026, our operating activities used $16.0 million of cash, compared with $28.5 million of cash used in the same period in 2025. The $12.5 million decrease in cash used for operations was due primarily to a lesser year-over-year increase in working capital, offset partially by a decrease in income from operations.</w:t>
      </w:r>
      <w:r>
        <w:rPr>
          <w:color w:val="0094FF"/>
        </w:rPr>
        <w:t xml:space="preserve"> </w:t>
      </w:r>
      <w:r>
        <w:rPr>
          <w:rFonts w:ascii="Times New Roman;serif" w:hAnsi="Times New Roman;serif"/>
          <w:b w:val="false"/>
          <w:color w:val="000000"/>
          <w:sz w:val="20"/>
        </w:rPr>
        <w:t>Working capital increased $80.5 million during the three months ended March 31, 2026, compared with a $123.7 million increase for the same period in the prior year.</w:t>
      </w:r>
      <w:r>
        <w:rPr>
          <w:color w:val="0094FF"/>
        </w:rPr>
        <w:t xml:space="preserve"> </w:t>
      </w:r>
      <w:r>
        <w:rPr>
          <w:rFonts w:ascii="Times New Roman;serif" w:hAnsi="Times New Roman;serif"/>
          <w:b w:val="false"/>
          <w:color w:val="000000"/>
          <w:sz w:val="20"/>
        </w:rPr>
        <w:t>See "Our Operating Results" in this Management's Discussion and Analysis of Financial Condition and Results of Operations for more information related to factors affecting our operating results.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increase in working capital during both periods was primarily attributable to higher receivables and inventories, offset by an increase in accounts payable and accrued liabilities. The increase in receivables in both periods primarily reflect increased sales of approximately 26% and 18%, comparing sales for the months of March 2026 and 2025 with sales for the months of December 2025 and 2024, respectively.</w:t>
      </w:r>
      <w:r>
        <w:rPr>
          <w:color w:val="0094FF"/>
        </w:rPr>
        <w:t xml:space="preserve"> </w:t>
      </w:r>
      <w:r>
        <w:rPr>
          <w:rFonts w:ascii="Times New Roman;serif" w:hAnsi="Times New Roman;serif"/>
          <w:b w:val="false"/>
          <w:color w:val="000000"/>
          <w:sz w:val="20"/>
        </w:rPr>
        <w:t>Inventories increased during the three months ended March 31, 2026 in preparation for the spring building season, as well as participation in certain BMD vendors' early-buy programs. These higher inventory levels were offset partially by the use of log inventory to support manufacturing activity in our Wood Products segment. Inventories increased during the three months ended March 31, 2025 in preparation for the spring building season, as well as participation in certain BMD vendors' early-buy programs. During both the three months ended March 31, 2026 and 2025, the increase in accounts payable and accrued liabilities was primarily related to the increase in inventories and extended terms offered by certain BMD vendors, offset partially by employee incentive compensation payouts made during the quarter and lower accrued rebates.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Investment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used $39.8 million and $53.2 million, respectively, of cash for purchases of property and equipment, including business improvement and efficiency projects, replacement projects, and ongoing environmental compliance.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Excluding potential acquisitions, we expect capital expenditures in 2026 to total approximately $150 million to $170 million. We expect our capital spending in 2026 will be for BMD growth projects, business improvement and efficiency projects, replacement projects, and ongoing environmental compliance. This level of capital expenditures could increase or decrease as a result of several factors, including efforts to further accelerate organic growth, exercise of lease purchase options, our financial results, future economic conditions, availability of engineering and construction resources, and timing and availability of equipment 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our financing activities used $83.1 million of cash, including $65.5 million for the repurchase of 830,751 shares of our common stock, $10.4 million in common stock dividend payments, and $6.2 million of tax withholding payments on stock-based awards. During the three months ended March 31, 2026, non-cash investing and financing activities included the issuance of a $2.5 million promissory note to partially finance a property purchase. During the three months ended March 31, 2026, we did not borrow under our revolving credit facility. At March 31, 2026, we had $50.0 million of borrowings outstanding under the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our financing activities used $70.8 million of cash, including $53.9 million for the repurchase of 482,700 shares of our common stock, $10.5 million in common stock dividend payments, and $5.9 million of tax withholding payments on stock-based awards. During the three months ended March 31, 2025, we did not borrow under our asset-based revolving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information related to our debt transactions and structure, our dividend policy, and our stock repurchase program, see the discussion in Note 6, Debt, and Note 9, Stockholders' Equity, respectively, of the Condensed Notes to Unaudited Quarterly Consolidated Financial Statements in "Item 1. Financial Statements" of this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Material Cash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about other material cash requirements, see Liquidity and Capital Resources in "Item 7. Management's Discussion and Analysis of Financial Condition and Results of Operations" in our 2025 Form 10-K. As of March 31, 2026, there have been no material changes in other material cash requirements outside the ordinary course of business since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Guarantees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Note 8, Debt, and Note 16, Commitments, Legal Proceedings and Contingencies, and Guarantees, of the Notes to Consolidated Financial Statements in "Item 8. Financial Statements and Supplementary Data" in our 2025 Form 10-K describe the nature of our guarantees, including the approximate terms of the guarantees, how the guarantees arose, the events or circumstances that would require us to perform under the guarantees, and the maximum potential undiscounted amounts of future payments we could be required to make. As of March 31, 2026, there have been no material changes to the guarantees disclosed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Seasonal Influences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fluctuations in quarterly sales volumes and expenses due to seasonal factors impacting the level of construction activity. These seasonal factors are common in the building products industry. Seasonal changes in levels of building activity affect our building products businesses, which are dependent on housing starts, repair-and-remodeling activities, and light commercial construction activities. Demand typically rises in the spring and summer months as favorable weather and increased building and remodeling projects boost sales volumes. In contrast, the winter months during the first and fourth quarters generally bring lower sales due to reduced construction activity and higher operating costs, particularly for energy. We also adjust our working capital ahead of the peak building season to ensure product availability. These seasonal trends impact our sales, expenses and operational planning throughout the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Employees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April 26, 2026, we had approximately 7,660 employees. Approximately 17% of these employees work pursuant to collective bargaining agreements. As of April 26, 2026, we had ten collective bargaining agreements. One agreement covering approximately 70 employees at our Canadian EWP facility is set to expire on December 31, 2026. The terms and conditions of this agreement will remain in effect after expiration, pending negotiation of a new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able to renew this agreement or may renew it on terms that are less favorable to us than the current agreement. If any of these agreements are not renewed or extended upon their termination, or additional collective bargaining agreements are formed, we could experience a material labor disruption, strike, or significantly increased labor costs at one or more of our facilities, either in the course of negotiations of a labor agreement or otherwise. Labor disruptions or shortages could prevent us from meeting customer demands or result in increased costs, thereby reducing our sales and profitability.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Disclosures of Financial Market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financial risks such as changes in commodity prices, interest rates, and foreign currency exchange rates. As of March 31, 2026, there have been no material changes to financial market risks disclosed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Environmental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there have been no material changes to environmental issues disclosed in our 2025 Form 10-K. For additional information, see Environmental in "Item 7. Management's Discussion and Analysis of Financial Condition and Results of Operations"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Critical Accounting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Critical accounting estimates are those that are most important to the portrayal of our financial condition and results. These estimates require management's most difficult, subjective, or complex judgments, often as a result of the need to estimate matters that are inherently uncertain. We review the development, selection, and disclosure of our critical accounting estimates with the Audit Committee of our board of directors. For information about critical accounting estimates, see Critical Accounting Estimates in "Item 7. Management's Discussion and Analysis of Financial Condition and Results of Operations" in our 2025 Form 10-K. At March 31, 2026, there have been no material changes to our critical accounting estimates from those disclosed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New and Recently Adopted Accounting Standards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related to new and recently adopted accounting standards, see New and Recently Adopted Accounting Standards in Note 2, Summary of Significant Accounting Policies, of the Condensed Notes to Unaudited Quarterly Consolidated Financial Statements in "Item 1. Financial Statements" in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2"/>
        </w:rPr>
      </w:pPr>
      <w:r>
        <w:rPr>
          <w:rFonts w:ascii="Times New Roman;serif" w:hAnsi="Times New Roman;serif"/>
          <w:b/>
          <w:i/>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relating to quantitative and qualitative disclosures about market risk, see the discussion under "Item 7A. Quantitative and Qualitative Disclosures About Market Risk" and under the headings Disclosures of Financial Market Risks and Financial Instruments in "Item 7. Management's Discussion and Analysis of Financial Condition and Results of Operations" in our 2025 Form 10-K. As of March 31, 2026, there have been no material changes in our exposure to market risk from those disclosed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2"/>
        </w:rPr>
      </w:pPr>
      <w:r>
        <w:rPr>
          <w:rFonts w:ascii="Times New Roman;serif" w:hAnsi="Times New Roman;serif"/>
          <w:b/>
          <w:i/>
          <w:color w:val="000000"/>
          <w:sz w:val="22"/>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under the Exchange Act. We have designed these controls and procedures to reasonably assure that information required to be disclosed in our reports filed or submitted under the Exchange Act, such as this Form 10-Q, is recorded, processed, summarized, and reported within the time periods specified in the Securities and Exchange Commission's rules and forms. We have also designed our disclosure controls to provide reasonable assurance that such information is accumulated and communicated to our senior management, including our chief executive officer (CEO) and our chief financial officer (CFO), as appropriate, to allow them to make timely decisions regarding our required disclosures. Based on their evaluation, our CEO and CFO have concluded that as of March 31, 2026, our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March 31, 2026,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0"/>
        </w:rPr>
      </w:pPr>
      <w:r>
        <w:rPr>
          <w:rFonts w:ascii="Times New Roman;serif" w:hAnsi="Times New Roman;serif"/>
          <w:b/>
          <w:i/>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party to legal proceedings that arise in the ordinary course of our business, including commercial liability claims, premises claims, environmental claims, employment-related claims, and governmental investigations and audits, among others. As of the date of this filing, we do not believe that we are party to any legal action that could reasonably be expected to have, individually or in the aggregate, a material adverse effect on our financial position, results of operations, or cash flows. See Note 12, Commitments, Legal Proceedings and Contingencies, and Guarantees, of the Condensed Notes to Unaudited Quarterly Consolidated Financial Statements in "Item 1. Financial Statements" of this Form 10-Q for a discussion of material legal proceedings in which we are involved.</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 regulations require us to disclose certain information about proceedings arising under federal, state or local environmental provisions if we reasonably believe that such proceedings may result in monetary sanctions above a stated threshold. Pursuant to the SEC regulations, we use a threshold of $1 million or more for purposes of determining whether disclosure of any such proceedings is required.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0"/>
        </w:rPr>
      </w:pPr>
      <w:r>
        <w:rPr>
          <w:rFonts w:ascii="Times New Roman;serif" w:hAnsi="Times New Roman;serif"/>
          <w:b/>
          <w:i/>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report on Form 10-Q contains forward-looking statements. Statements that are not historical or current facts, including statements about our expectations, anticipated financial results, projected capital expenditures, and future business prospects, are forward-looking statements. You can identify these statements by our use of words such as "may," "will," "expect," "believe," "should," "plan," "anticipate," and other similar expressions. You can find examples of these statements throughout this report, including "Item 2. Management's Discussion and Analysis of Financial Condition and Results of Operations." We cannot guarantee that our actual results will be consistent with the forward-looking statements we make in this report. You should review carefully the risk factors listed in "Item 1A. Risk Factors" in our 2025 Form 10-K, as well as those factors listed in other documents we file with the Securities and Exchange Commission. We do not assume an obligation to update any forward-looking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0"/>
        </w:rPr>
      </w:pPr>
      <w:r>
        <w:rPr>
          <w:rFonts w:ascii="Times New Roman;serif" w:hAnsi="Times New Roman;serif"/>
          <w:b/>
          <w:i/>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Purchases of Equity Securities by the Issuer and Affiliated Purchasers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30, 2025, our board of directors approved a share repurchase authorization of $300.0 million of our outstanding common stock, excluding applicable fees and taxes. Share repurchases may be made on an opportunistic basis, through open market transactions, privately negotiated transactions, or by other means in accordance with applicable federal securities laws. We are not obligated to purchase any shares and there is no set date that the share repurchase program will expire. Our board of directors, at its discretion, may increase or decrease the amount authorized or terminate the share repurchase program at any time.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Set forth below is information with respect to the purchases of our common stock during the first quarter ended March 31,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4"/>
        <w:gridCol w:w="384"/>
        <w:gridCol w:w="387"/>
        <w:gridCol w:w="579"/>
        <w:gridCol w:w="439"/>
        <w:gridCol w:w="440"/>
        <w:gridCol w:w="109"/>
        <w:gridCol w:w="109"/>
        <w:gridCol w:w="109"/>
        <w:gridCol w:w="387"/>
        <w:gridCol w:w="1163"/>
        <w:gridCol w:w="203"/>
        <w:gridCol w:w="109"/>
        <w:gridCol w:w="109"/>
        <w:gridCol w:w="109"/>
        <w:gridCol w:w="782"/>
        <w:gridCol w:w="675"/>
        <w:gridCol w:w="677"/>
        <w:gridCol w:w="109"/>
        <w:gridCol w:w="109"/>
        <w:gridCol w:w="109"/>
        <w:gridCol w:w="348"/>
        <w:gridCol w:w="1984"/>
        <w:gridCol w:w="262"/>
      </w:tblGrid>
      <w:tr>
        <w:trPr/>
        <w:tc>
          <w:tcPr>
            <w:tcW w:w="51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 (exclusive of applicable fees and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Number of Shares Purchased as Part of Publicly Announced Plans or Programs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Plans or Programs</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308,891 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308,891 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213,645,628 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 February 28, 2026</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160,393 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160,393 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199,726,089</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 March 31, 2026</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173,148,336</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145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830,751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78.84</w:t>
            </w:r>
            <w:r>
              <w:rPr>
                <w:color w:val="000000"/>
              </w:rPr>
              <w:t>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830,751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173,148,336</w:t>
            </w:r>
            <w:r>
              <w:rPr>
                <w:color w:val="000000"/>
              </w:rPr>
              <w:t>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0"/>
        </w:rPr>
      </w:pPr>
      <w:r>
        <w:rPr>
          <w:rFonts w:ascii="Times New Roman;serif" w:hAnsi="Times New Roman;serif"/>
          <w:b/>
          <w:i/>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1260"/>
        <w:jc w:val="left"/>
        <w:rPr>
          <w:rFonts w:ascii="Times New Roman;serif" w:hAnsi="Times New Roman;serif"/>
          <w:b/>
          <w:i/>
          <w:color w:val="000000"/>
          <w:sz w:val="20"/>
        </w:rPr>
      </w:pPr>
      <w:r>
        <w:rPr>
          <w:rFonts w:ascii="Times New Roman;serif" w:hAnsi="Times New Roman;serif"/>
          <w:b/>
          <w:i/>
          <w:color w:val="000000"/>
          <w:sz w:val="20"/>
        </w:rPr>
        <w:t>ITEM 4.          MINE SAFETY DISCLOSURES</w:t>
      </w:r>
    </w:p>
    <w:p>
      <w:pPr>
        <w:pStyle w:val="TextBody"/>
        <w:bidi w:val="0"/>
        <w:spacing w:before="0" w:after="0"/>
        <w:ind w:left="0" w:right="0" w:hanging="12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0"/>
        </w:rPr>
      </w:pPr>
      <w:r>
        <w:rPr>
          <w:rFonts w:ascii="Times New Roman;serif" w:hAnsi="Times New Roman;serif"/>
          <w:b/>
          <w:i/>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Boise Cascade's directors or officers adopted, terminated or modified a Rule 10b5-1 trading arrangement or non-Rule 10b5-1 trading arrangement (as such terms are defined in Item 408 of Regulation S-K of the Securities Act of 1933).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1"/>
        <w:gridCol w:w="274"/>
        <w:gridCol w:w="275"/>
        <w:gridCol w:w="109"/>
        <w:gridCol w:w="109"/>
        <w:gridCol w:w="109"/>
        <w:gridCol w:w="2664"/>
        <w:gridCol w:w="2621"/>
        <w:gridCol w:w="3733"/>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1formof2026restricteds.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formof2026restricteds.htm">
              <w:r>
                <w:rPr>
                  <w:rStyle w:val="InternetLink"/>
                  <w:rFonts w:ascii="Times New Roman;serif" w:hAnsi="Times New Roman;serif"/>
                  <w:b w:val="false"/>
                  <w:color w:val="0000FF"/>
                  <w:sz w:val="20"/>
                  <w:u w:val="single"/>
                </w:rPr>
                <w:t>Form of 2026 Restricted Stock Unit Agreement under the 2025 Boise Cascade Omnibus Incentive Plan</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2formof2026performance.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formof2026performance.htm">
              <w:r>
                <w:rPr>
                  <w:rStyle w:val="InternetLink"/>
                  <w:rFonts w:ascii="Times New Roman;serif" w:hAnsi="Times New Roman;serif"/>
                  <w:b w:val="false"/>
                  <w:color w:val="0000FF"/>
                  <w:sz w:val="20"/>
                  <w:u w:val="single"/>
                </w:rPr>
                <w:t>Form of 2026 Performance Stock Unit Agreement under the 2025 Boise Cascade Omnibus Incentive Plan</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3formof2026directorres.htm">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3formof2026directorres.htm">
              <w:r>
                <w:rPr>
                  <w:rStyle w:val="InternetLink"/>
                  <w:rFonts w:ascii="Times New Roman;serif" w:hAnsi="Times New Roman;serif"/>
                  <w:b w:val="false"/>
                  <w:color w:val="0000FF"/>
                  <w:sz w:val="20"/>
                  <w:u w:val="single"/>
                </w:rPr>
                <w:t xml:space="preserve">Form of 2026 Director Restricted Stock Unit Agreement under the 2025 Boise Cascade Omnibus Incentive Plan </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bcc3312026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3312026ex311.htm">
              <w:r>
                <w:rPr>
                  <w:rStyle w:val="InternetLink"/>
                  <w:rFonts w:ascii="Times New Roman;serif" w:hAnsi="Times New Roman;serif"/>
                  <w:b w:val="false"/>
                  <w:color w:val="0000FF"/>
                  <w:sz w:val="20"/>
                  <w:u w:val="single"/>
                </w:rPr>
                <w:t>CEO Certification pursuant to Section 302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bcc3312026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3312026ex312.htm">
              <w:r>
                <w:rPr>
                  <w:rStyle w:val="InternetLink"/>
                  <w:rFonts w:ascii="Times New Roman;serif" w:hAnsi="Times New Roman;serif"/>
                  <w:b w:val="false"/>
                  <w:color w:val="0000FF"/>
                  <w:sz w:val="20"/>
                  <w:u w:val="single"/>
                </w:rPr>
                <w:t>CFO Certification pursuant to Section 302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bcc3312026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3312026ex321.htm">
              <w:r>
                <w:rPr>
                  <w:rStyle w:val="InternetLink"/>
                  <w:rFonts w:ascii="Times New Roman;serif" w:hAnsi="Times New Roman;serif"/>
                  <w:b w:val="false"/>
                  <w:color w:val="0000FF"/>
                  <w:sz w:val="20"/>
                  <w:u w:val="single"/>
                </w:rPr>
                <w:t>CEO Certification pursuant to 18 U.S.C. Section 1350, as adopted pursuant to Section 906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bcc3312026ex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3312026ex322.htm">
              <w:r>
                <w:rPr>
                  <w:rStyle w:val="InternetLink"/>
                  <w:rFonts w:ascii="Times New Roman;serif" w:hAnsi="Times New Roman;serif"/>
                  <w:b w:val="false"/>
                  <w:color w:val="0000FF"/>
                  <w:sz w:val="20"/>
                  <w:u w:val="single"/>
                </w:rPr>
                <w:t>CFO Certification pursuant to 18 U.S.C. Section 1350, as adopted pursuant to Section 906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9a2d63d69424a008d80170c8093d05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6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56"/>
        <w:gridCol w:w="1456"/>
        <w:gridCol w:w="20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BOISE CASCADE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E. Hibbs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E. Hibbs</w:t>
              <w:br/>
              <w:t>Senior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RESTRICTED STOCK UNIT AGREEMENT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BOISE CASCADE OMNIBUS INCENTIVE PLAN</w:t>
      </w:r>
    </w:p>
    <w:p>
      <w:pPr>
        <w:pStyle w:val="TextBody"/>
        <w:bidi w:val="0"/>
        <w:spacing w:before="0" w:after="0"/>
        <w:jc w:val="center"/>
        <w:rPr/>
      </w:pPr>
      <w:r>
        <w:rPr/>
      </w:r>
    </w:p>
    <w:tbl>
      <w:tblPr>
        <w:tblW w:w="2520" w:type="dxa"/>
        <w:jc w:val="left"/>
        <w:tblInd w:w="0" w:type="dxa"/>
        <w:tblLayout w:type="fixed"/>
        <w:tblCellMar>
          <w:top w:w="28" w:type="dxa"/>
          <w:left w:w="28" w:type="dxa"/>
          <w:bottom w:w="28" w:type="dxa"/>
          <w:right w:w="28" w:type="dxa"/>
        </w:tblCellMar>
      </w:tblPr>
      <w:tblGrid>
        <w:gridCol w:w="412"/>
        <w:gridCol w:w="363"/>
        <w:gridCol w:w="365"/>
        <w:gridCol w:w="404"/>
        <w:gridCol w:w="404"/>
        <w:gridCol w:w="572"/>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20"/>
              </w:rPr>
            </w:pPr>
            <w:r>
              <w:rPr>
                <w:rFonts w:ascii="Times New Roman;serif" w:hAnsi="Times New Roman;serif"/>
                <w:b/>
                <w:color w:val="000000"/>
                <w:sz w:val="20"/>
              </w:rPr>
              <w:t>Participant:</w:t>
            </w:r>
          </w:p>
        </w:tc>
        <w:tc>
          <w:tcPr>
            <w:tcW w:w="1380"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20"/>
              </w:rPr>
            </w:pPr>
            <w:r>
              <w:rPr>
                <w:rFonts w:ascii="Times New Roman;serif" w:hAnsi="Times New Roman;serif"/>
                <w:b/>
                <w:color w:val="000000"/>
                <w:sz w:val="20"/>
              </w:rPr>
              <w:t>[ ]</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20"/>
              </w:rPr>
            </w:pPr>
            <w:r>
              <w:rPr>
                <w:rFonts w:ascii="Times New Roman;serif" w:hAnsi="Times New Roman;serif"/>
                <w:b/>
                <w:color w:val="000000"/>
                <w:sz w:val="20"/>
              </w:rPr>
              <w:t>Grant Date:</w:t>
            </w:r>
          </w:p>
        </w:tc>
        <w:tc>
          <w:tcPr>
            <w:tcW w:w="1380"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20"/>
              </w:rPr>
            </w:pPr>
            <w:r>
              <w:rPr>
                <w:rFonts w:ascii="Times New Roman;serif" w:hAnsi="Times New Roman;serif"/>
                <w:b/>
                <w:color w:val="000000"/>
                <w:sz w:val="20"/>
              </w:rPr>
              <w:t>March 1, 2026</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Number of Restricted Stock Units (the “</w:t>
      </w:r>
      <w:r>
        <w:rPr>
          <w:rFonts w:ascii="Times New Roman;serif" w:hAnsi="Times New Roman;serif"/>
          <w:b/>
          <w:color w:val="000000"/>
          <w:sz w:val="20"/>
          <w:u w:val="single"/>
        </w:rPr>
        <w:t>RSUs</w:t>
      </w:r>
      <w:r>
        <w:rPr>
          <w:color w:val="000000"/>
        </w:rPr>
        <w:t>”</w:t>
      </w:r>
      <w:r>
        <w:rPr>
          <w:rFonts w:ascii="Times New Roman;serif" w:hAnsi="Times New Roman;serif"/>
          <w:b/>
          <w:color w:val="000000"/>
          <w:sz w:val="20"/>
        </w:rPr>
        <w:t>):    [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THIS RESTRICTED STOCK UNIT AWARD AGREEMENT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dated as of the Grant Date above, is entered into by and between Boise Cascade Company, a corporation organized in the State of Delaware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the Participant specified above, pursuant to the 2025 Boise Cascade Omnibus Incentive Plan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This Agreement is not enforceable until you accept the Agreement electronically.  Electronic acceptance constitutes your acknowledgment of receipt of the Award and your agreement to the terms of the Agreement.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u w:val="single"/>
        </w:rPr>
        <w:t>Incorporation by Reference; Plan Document Receipt</w:t>
      </w:r>
      <w:r>
        <w:rPr>
          <w:rFonts w:ascii="Times New Roman;serif" w:hAnsi="Times New Roman;serif"/>
          <w:b w:val="false"/>
          <w:color w:val="000000"/>
          <w:sz w:val="20"/>
        </w:rPr>
        <w:t>.  This Agreement is subject in all respects to the terms and provisions of the Plan (including, without limitation, any amendments to the Plan adopted at any time unless such amendments are expressly intended not to apply to this Agreement), and the terms and provisions of the Plan are made a part of and incorporated in this Agreement as if they were set forth in this Agreement.  Any capitalized term not defined in this Agreement shall have the meaning given in the Plan.  The Participant acknowledges receipt of a copy of the Plan and that the Participant has read the Plan carefully and fully understands it.  If there is any conflict between the terms of this Agreement and the terms of the Plan, the terms of the Plan shall control.</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u w:val="single"/>
        </w:rPr>
        <w:t>Grant of Restricted Stock Unit Award</w:t>
      </w:r>
      <w:r>
        <w:rPr>
          <w:rFonts w:ascii="Times New Roman;serif" w:hAnsi="Times New Roman;serif"/>
          <w:b w:val="false"/>
          <w:color w:val="000000"/>
          <w:sz w:val="20"/>
        </w:rPr>
        <w:t>.  The Company grants to the Participant, as of the Grant Date, the number of RSUs specified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No adjustments shall be made for dividends in cash or other property, distributions or other rights in respect of the shares of Common Stock underlying the RSUs, except as otherwise specifically provided for in the Plan or this Agreement.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rFonts w:ascii="Times New Roman;serif" w:hAnsi="Times New Roman;serif"/>
          <w:b/>
          <w:color w:val="000000"/>
          <w:sz w:val="20"/>
          <w:u w:val="single"/>
        </w:rPr>
        <w:t>Vesting</w:t>
      </w:r>
      <w:r>
        <w:rPr>
          <w:rFonts w:ascii="Times New Roman;serif" w:hAnsi="Times New Roman;serif"/>
          <w:b w:val="false"/>
          <w:color w:val="000000"/>
          <w:sz w:val="20"/>
        </w:rPr>
        <w:t>.  The RSUs subject to this Award are subject to a time-based vesting condition (the “</w:t>
      </w:r>
      <w:r>
        <w:rPr>
          <w:rFonts w:ascii="Times New Roman;serif" w:hAnsi="Times New Roman;serif"/>
          <w:b w:val="false"/>
          <w:color w:val="000000"/>
          <w:sz w:val="20"/>
          <w:u w:val="single"/>
        </w:rPr>
        <w:t>Time-Based Condition</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Time-Based Condition</w:t>
      </w:r>
      <w:r>
        <w:rPr>
          <w:rFonts w:ascii="Times New Roman;serif" w:hAnsi="Times New Roman;serif"/>
          <w:b w:val="false"/>
          <w:color w:val="000000"/>
          <w:sz w:val="20"/>
        </w:rPr>
        <w:t>.  RSUs will satisfy the Time-Based Condition and vest and become payable on the dates indicated below:</w:t>
      </w:r>
    </w:p>
    <w:p>
      <w:pPr>
        <w:pStyle w:val="TextBody"/>
        <w:bidi w:val="0"/>
        <w:spacing w:lineRule="auto" w:line="288" w:before="0" w:after="0"/>
        <w:jc w:val="left"/>
        <w:rPr>
          <w:color w:val="000000"/>
        </w:rPr>
      </w:pPr>
      <w:r>
        <w:rPr>
          <w:color w:val="000000"/>
        </w:rPr>
        <w:t> </w:t>
      </w:r>
    </w:p>
    <w:tbl>
      <w:tblPr>
        <w:tblW w:w="4633"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879"/>
        <w:gridCol w:w="879"/>
        <w:gridCol w:w="124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RSUs satisfying Time-</w:t>
              <w:br/>
              <w:t>Based Condition</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 1/3% of the RSUs</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 1/3% of the RSUs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 1/3% of the RSUs</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Except as otherwise provided in this </w:t>
      </w:r>
      <w:r>
        <w:rPr>
          <w:rFonts w:ascii="Times New Roman;serif" w:hAnsi="Times New Roman;serif"/>
          <w:b w:val="false"/>
          <w:color w:val="000000"/>
          <w:sz w:val="20"/>
          <w:u w:val="single"/>
        </w:rPr>
        <w:t>Section 3</w:t>
      </w:r>
      <w:r>
        <w:rPr>
          <w:rFonts w:ascii="Times New Roman;serif" w:hAnsi="Times New Roman;serif"/>
          <w:b w:val="false"/>
          <w:color w:val="000000"/>
          <w:sz w:val="20"/>
        </w:rPr>
        <w:t>, a Participant must be employed on the applicable vesting date to vest in the applicable portion of the RSUs.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No Partial Vesting; Forfeiture</w:t>
      </w:r>
      <w:r>
        <w:rPr>
          <w:rFonts w:ascii="Times New Roman;serif" w:hAnsi="Times New Roman;serif"/>
          <w:b w:val="false"/>
          <w:color w:val="000000"/>
          <w:sz w:val="20"/>
        </w:rPr>
        <w:t xml:space="preserve">. Except as provided pursuant to </w:t>
      </w:r>
      <w:r>
        <w:rPr>
          <w:rFonts w:ascii="Times New Roman;serif" w:hAnsi="Times New Roman;serif"/>
          <w:b w:val="false"/>
          <w:color w:val="000000"/>
          <w:sz w:val="20"/>
          <w:u w:val="single"/>
        </w:rPr>
        <w:t>Section 3(d)(ii)</w:t>
      </w:r>
      <w:r>
        <w:rPr>
          <w:color w:val="000000"/>
        </w:rPr>
        <w:t xml:space="preserve"> </w:t>
      </w:r>
      <w:r>
        <w:rPr>
          <w:rFonts w:ascii="Times New Roman;serif" w:hAnsi="Times New Roman;serif"/>
          <w:b w:val="false"/>
          <w:color w:val="000000"/>
          <w:sz w:val="20"/>
        </w:rPr>
        <w:t>or</w:t>
      </w:r>
      <w:r>
        <w:rPr>
          <w:color w:val="000000"/>
          <w:u w:val="single"/>
        </w:rPr>
        <w:t xml:space="preserve"> </w:t>
      </w:r>
      <w:r>
        <w:rPr>
          <w:rFonts w:ascii="Times New Roman;serif" w:hAnsi="Times New Roman;serif"/>
          <w:b w:val="false"/>
          <w:color w:val="000000"/>
          <w:sz w:val="20"/>
          <w:u w:val="single"/>
        </w:rPr>
        <w:t>Section 3(e)</w:t>
      </w:r>
      <w:r>
        <w:rPr>
          <w:rFonts w:ascii="Times New Roman;serif" w:hAnsi="Times New Roman;serif"/>
          <w:b w:val="false"/>
          <w:color w:val="000000"/>
          <w:sz w:val="20"/>
        </w:rPr>
        <w:t>, there shall be no proportionate or partial vesting prior to each vesting date.  In the event of a Participant’s termination from employment or service with the Company (“</w:t>
      </w:r>
      <w:r>
        <w:rPr>
          <w:rFonts w:ascii="Times New Roman;serif" w:hAnsi="Times New Roman;serif"/>
          <w:b w:val="false"/>
          <w:color w:val="000000"/>
          <w:sz w:val="20"/>
          <w:u w:val="single"/>
        </w:rPr>
        <w:t>Termination</w:t>
      </w:r>
      <w:r>
        <w:rPr>
          <w:color w:val="000000"/>
        </w:rPr>
        <w:t>”</w:t>
      </w:r>
      <w:r>
        <w:rPr>
          <w:rFonts w:ascii="Times New Roman;serif" w:hAnsi="Times New Roman;serif"/>
          <w:b w:val="false"/>
          <w:color w:val="000000"/>
          <w:sz w:val="20"/>
        </w:rPr>
        <w:t xml:space="preserve">) for any reason other than as specified in </w:t>
      </w:r>
      <w:r>
        <w:rPr>
          <w:rFonts w:ascii="Times New Roman;serif" w:hAnsi="Times New Roman;serif"/>
          <w:b w:val="false"/>
          <w:color w:val="000000"/>
          <w:sz w:val="20"/>
          <w:u w:val="single"/>
        </w:rPr>
        <w:t>Section 3(d)</w:t>
      </w:r>
      <w:r>
        <w:rPr>
          <w:color w:val="000000"/>
        </w:rPr>
        <w:t xml:space="preserve"> </w:t>
      </w:r>
      <w:r>
        <w:rPr>
          <w:rFonts w:ascii="Times New Roman;serif" w:hAnsi="Times New Roman;serif"/>
          <w:b w:val="false"/>
          <w:color w:val="000000"/>
          <w:sz w:val="20"/>
        </w:rPr>
        <w:t>or</w:t>
      </w:r>
      <w:r>
        <w:rPr>
          <w:color w:val="000000"/>
          <w:u w:val="single"/>
        </w:rPr>
        <w:t xml:space="preserve"> </w:t>
      </w:r>
      <w:r>
        <w:rPr>
          <w:rFonts w:ascii="Times New Roman;serif" w:hAnsi="Times New Roman;serif"/>
          <w:b w:val="false"/>
          <w:color w:val="000000"/>
          <w:sz w:val="20"/>
          <w:u w:val="single"/>
        </w:rPr>
        <w:t>Section 3(e)</w:t>
      </w:r>
      <w:r>
        <w:rPr>
          <w:rFonts w:ascii="Times New Roman;serif" w:hAnsi="Times New Roman;serif"/>
          <w:b w:val="false"/>
          <w:color w:val="000000"/>
          <w:sz w:val="20"/>
        </w:rPr>
        <w:t xml:space="preserve">, all unvested RSUs shall be forfeited immediately following such Termination and the Participant shall have no further rights under this Agreement. </w:t>
      </w:r>
    </w:p>
    <w:p>
      <w:pPr>
        <w:pStyle w:val="TextBody"/>
        <w:bidi w:val="0"/>
        <w:spacing w:before="0" w:after="0"/>
        <w:jc w:val="left"/>
        <w:rPr/>
      </w:pPr>
      <w:r>
        <w:rPr/>
      </w:r>
    </w:p>
    <w:p>
      <w:pPr>
        <w:pStyle w:val="TextBody"/>
        <w:bidi w:val="0"/>
        <w:spacing w:lineRule="auto" w:line="288"/>
        <w:ind w:left="0" w:right="0" w:hanging="360"/>
        <w:jc w:val="left"/>
        <w:rPr/>
      </w:pPr>
      <w:r>
        <w:rPr>
          <w:rFonts w:ascii="Times New Roman;serif" w:hAnsi="Times New Roman;serif"/>
          <w:b w:val="false"/>
          <w:color w:val="000000"/>
          <w:sz w:val="20"/>
        </w:rPr>
        <w:t>(c)</w:t>
      </w:r>
      <w:r>
        <w:rPr>
          <w:rFonts w:ascii="Times New Roman;serif" w:hAnsi="Times New Roman;serif"/>
          <w:b w:val="false"/>
          <w:color w:val="000000"/>
          <w:sz w:val="20"/>
          <w:u w:val="single"/>
        </w:rPr>
        <w:t>Change in Control</w:t>
      </w:r>
      <w:r>
        <w:rPr>
          <w:rFonts w:ascii="Times New Roman;serif" w:hAnsi="Times New Roman;serif"/>
          <w:b w:val="false"/>
          <w:color w:val="000000"/>
          <w:sz w:val="20"/>
        </w:rPr>
        <w:t xml:space="preserve">.  If a Change in Control which constitutes a “change in the ownership of the corporation,” a “change in effective control of the corporation,” or a “change in the ownership of a substantial portion of the assets of the corporation,” as those terms are defined pursuant to Section 409A of the Internal Revenue Code and the regulations thereunder, occurs, then the Time-Based Condition shall be satisfied for all RSUs as of the date of the Change in Control and the RSUs shall vest and become payable as of the date of the Change </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51460"/>
                <wp:effectExtent l="0" t="0" r="0" b="0"/>
                <wp:wrapNone/>
                <wp:docPr id="39" name="Frame3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in Control so long as the Participant has not incurred a Termination prior to the Change in Control; provided that this </w:t>
      </w:r>
      <w:r>
        <w:rPr>
          <w:rFonts w:ascii="Times New Roman;serif" w:hAnsi="Times New Roman;serif"/>
          <w:b w:val="false"/>
          <w:color w:val="000000"/>
          <w:sz w:val="20"/>
          <w:u w:val="single"/>
        </w:rPr>
        <w:t>Section 3(c)</w:t>
      </w:r>
      <w:r>
        <w:rPr>
          <w:color w:val="000000"/>
        </w:rPr>
        <w:t> </w:t>
      </w:r>
      <w:r>
        <w:rPr>
          <w:rFonts w:ascii="Times New Roman;serif" w:hAnsi="Times New Roman;serif"/>
          <w:b w:val="false"/>
          <w:color w:val="000000"/>
          <w:sz w:val="20"/>
        </w:rPr>
        <w:t>shall not apply if the RSUs are replaced by an equivalent award providing for accelerated vesting in connection with the Participant’s Termination following the Change in Control, as determined by the Committee in its sole discretion.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(d)</w:t>
      </w:r>
      <w:r>
        <w:rPr>
          <w:rFonts w:ascii="Times New Roman;serif" w:hAnsi="Times New Roman;serif"/>
          <w:b w:val="false"/>
          <w:color w:val="000000"/>
          <w:sz w:val="20"/>
          <w:u w:val="single"/>
        </w:rPr>
        <w:t>Termination due to death, Disability, or Retirement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i.In the event of a Participant’s Termination due to death or Disability, the Time-Based Condition shall be satisfied as of the date of death or Disability for all unvested RSUs. </w:t>
      </w:r>
    </w:p>
    <w:p>
      <w:pPr>
        <w:pStyle w:val="TextBody"/>
        <w:bidi w:val="0"/>
        <w:spacing w:before="0" w:after="0"/>
        <w:jc w:val="left"/>
        <w:rPr/>
      </w:pPr>
      <w:r>
        <w:rPr/>
      </w:r>
    </w:p>
    <w:p>
      <w:pPr>
        <w:pStyle w:val="TextBody"/>
        <w:bidi w:val="0"/>
        <w:spacing w:lineRule="auto" w:line="288" w:before="0" w:after="0"/>
        <w:ind w:left="0" w:right="0" w:hanging="180"/>
        <w:jc w:val="left"/>
        <w:rPr/>
      </w:pPr>
      <w:r>
        <w:rPr>
          <w:rFonts w:ascii="Times New Roman;serif" w:hAnsi="Times New Roman;serif"/>
          <w:b w:val="false"/>
          <w:color w:val="000000"/>
          <w:sz w:val="20"/>
        </w:rPr>
        <w:t xml:space="preserve">ii.In the event of a Participant’s Termination due to Retirement, a pro rata portion of the current tranche of unvested RSUs shall be deemed to have satisfied the Time-Based Condition as of the Participant’s Retirement date. The pro rata portion shall be calculated as 33 1/3% of the granted RSUs, multiplied by a fraction, the numerator of which is the number of full calendar months elapsed from the March 1 preceding the Participant’s Retirement date through the Participant’s Retirement date, and the denominator of which is 12. If the Participant’s Retirement date is March 1, the Participant shall receive only the RSUs vesting pursuant to </w:t>
      </w:r>
      <w:r>
        <w:rPr>
          <w:rFonts w:ascii="Times New Roman;serif" w:hAnsi="Times New Roman;serif"/>
          <w:b w:val="false"/>
          <w:color w:val="000000"/>
          <w:sz w:val="20"/>
          <w:u w:val="single"/>
        </w:rPr>
        <w:t>Section 3(a)</w:t>
      </w:r>
      <w:r>
        <w:rPr>
          <w:color w:val="000000"/>
        </w:rPr>
        <w:t xml:space="preserve"> </w:t>
      </w:r>
      <w:r>
        <w:rPr>
          <w:rFonts w:ascii="Times New Roman;serif" w:hAnsi="Times New Roman;serif"/>
          <w:b w:val="false"/>
          <w:color w:val="000000"/>
          <w:sz w:val="20"/>
        </w:rPr>
        <w:t xml:space="preserve">on the vesting date coincident with the Retirement date and no additional pro rata portion. For purposes of this Agreement, “Retirement” means the Participant’s Termination and having met the definition of Retirement-eligible pursuant to Section 8.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(e)</w:t>
      </w:r>
      <w:r>
        <w:rPr>
          <w:rFonts w:ascii="Times New Roman;serif" w:hAnsi="Times New Roman;serif"/>
          <w:b w:val="false"/>
          <w:color w:val="000000"/>
          <w:sz w:val="20"/>
          <w:u w:val="single"/>
        </w:rPr>
        <w:t>Retention as a Non-Employee Director</w:t>
      </w:r>
      <w:r>
        <w:rPr>
          <w:rFonts w:ascii="Times New Roman;serif" w:hAnsi="Times New Roman;serif"/>
          <w:b w:val="false"/>
          <w:color w:val="000000"/>
          <w:sz w:val="20"/>
        </w:rPr>
        <w:t xml:space="preserve">. If the Participant continues to serve as or is appointed as a member of the Company’s Board of Directors immediately following Termination, RSUs shall continue to vest and become payable as if the Participant remained employed by the Company for as long as such Participant serves as a member of the Company’s Board of Directors. Any decision to retain or appoint a Participant as a member of the Company’s Board of Directors shall be determined by the Board of Directors (and recommended by the Corporate Governance &amp; Nominating Committee).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(f)</w:t>
      </w:r>
      <w:r>
        <w:rPr>
          <w:rFonts w:ascii="Times New Roman;serif" w:hAnsi="Times New Roman;serif"/>
          <w:b w:val="false"/>
          <w:color w:val="000000"/>
          <w:sz w:val="20"/>
          <w:u w:val="single"/>
        </w:rPr>
        <w:t>Vested RSUs</w:t>
      </w:r>
      <w:r>
        <w:rPr>
          <w:rFonts w:ascii="Times New Roman;serif" w:hAnsi="Times New Roman;serif"/>
          <w:b w:val="false"/>
          <w:color w:val="000000"/>
          <w:sz w:val="20"/>
        </w:rPr>
        <w:t>.  RSUs that have satisfied the Time-Based Condition are referred to as “</w:t>
      </w:r>
      <w:r>
        <w:rPr>
          <w:rFonts w:ascii="Times New Roman;serif" w:hAnsi="Times New Roman;serif"/>
          <w:b w:val="false"/>
          <w:color w:val="000000"/>
          <w:sz w:val="20"/>
          <w:u w:val="single"/>
        </w:rPr>
        <w:t>Vested RSUs</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rFonts w:ascii="Times New Roman;serif" w:hAnsi="Times New Roman;serif"/>
          <w:b/>
          <w:color w:val="000000"/>
          <w:sz w:val="20"/>
          <w:u w:val="single"/>
        </w:rPr>
        <w:t>Payment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General</w:t>
      </w:r>
      <w:r>
        <w:rPr>
          <w:rFonts w:ascii="Times New Roman;serif" w:hAnsi="Times New Roman;serif"/>
          <w:b w:val="false"/>
          <w:color w:val="000000"/>
          <w:sz w:val="20"/>
        </w:rPr>
        <w:t>.  Vested RSUs will be paid to the Participant in whole shares of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Time of Payment</w:t>
      </w:r>
      <w:r>
        <w:rPr>
          <w:rFonts w:ascii="Times New Roman;serif" w:hAnsi="Times New Roman;serif"/>
          <w:b w:val="false"/>
          <w:color w:val="000000"/>
          <w:sz w:val="20"/>
        </w:rPr>
        <w:t xml:space="preserve">. The designated payment date shall be the applicable vesting date in the table in </w:t>
      </w:r>
      <w:r>
        <w:rPr>
          <w:rFonts w:ascii="Times New Roman;serif" w:hAnsi="Times New Roman;serif"/>
          <w:b w:val="false"/>
          <w:color w:val="000000"/>
          <w:sz w:val="20"/>
          <w:u w:val="single"/>
        </w:rPr>
        <w:t>Section 3(a)</w:t>
      </w:r>
      <w:r>
        <w:rPr>
          <w:color w:val="000000"/>
        </w:rPr>
        <w:t xml:space="preserve"> </w:t>
      </w:r>
      <w:r>
        <w:rPr>
          <w:rFonts w:ascii="Times New Roman;serif" w:hAnsi="Times New Roman;serif"/>
          <w:b w:val="false"/>
          <w:color w:val="000000"/>
          <w:sz w:val="20"/>
        </w:rPr>
        <w:t xml:space="preserve">for RSUs vesting pursuant to </w:t>
      </w:r>
      <w:r>
        <w:rPr>
          <w:rFonts w:ascii="Times New Roman;serif" w:hAnsi="Times New Roman;serif"/>
          <w:b w:val="false"/>
          <w:color w:val="000000"/>
          <w:sz w:val="20"/>
          <w:u w:val="single"/>
        </w:rPr>
        <w:t>Section 3(a) or Section 3(e)</w:t>
      </w:r>
      <w:r>
        <w:rPr>
          <w:rFonts w:ascii="Times New Roman;serif" w:hAnsi="Times New Roman;serif"/>
          <w:b w:val="false"/>
          <w:color w:val="000000"/>
          <w:sz w:val="20"/>
        </w:rPr>
        <w:t xml:space="preserve">; the date of Change in Control for RSUs vesting pursuant to </w:t>
      </w:r>
      <w:r>
        <w:rPr>
          <w:rFonts w:ascii="Times New Roman;serif" w:hAnsi="Times New Roman;serif"/>
          <w:b w:val="false"/>
          <w:color w:val="000000"/>
          <w:sz w:val="20"/>
          <w:u w:val="single"/>
        </w:rPr>
        <w:t>Section 3(c)</w:t>
      </w:r>
      <w:r>
        <w:rPr>
          <w:rFonts w:ascii="Times New Roman;serif" w:hAnsi="Times New Roman;serif"/>
          <w:b w:val="false"/>
          <w:color w:val="000000"/>
          <w:sz w:val="20"/>
        </w:rPr>
        <w:t xml:space="preserve">; and the date of Termination due to death, Disability, or Retirement, as applicable, for RSUs vesting pursuant to </w:t>
      </w:r>
      <w:r>
        <w:rPr>
          <w:rFonts w:ascii="Times New Roman;serif" w:hAnsi="Times New Roman;serif"/>
          <w:b w:val="false"/>
          <w:color w:val="000000"/>
          <w:sz w:val="20"/>
          <w:u w:val="single"/>
        </w:rPr>
        <w:t>Section 3(d)</w:t>
      </w:r>
      <w:r>
        <w:rPr>
          <w:rFonts w:ascii="Times New Roman;serif" w:hAnsi="Times New Roman;serif"/>
          <w:b w:val="false"/>
          <w:color w:val="000000"/>
          <w:sz w:val="20"/>
        </w:rPr>
        <w:t>. Delivery of shares pursuant to this Agreement shall be made within 14 days following the designated payment date.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(c)</w:t>
      </w:r>
      <w:r>
        <w:rPr>
          <w:rFonts w:ascii="Times New Roman;serif" w:hAnsi="Times New Roman;serif"/>
          <w:b w:val="false"/>
          <w:color w:val="000000"/>
          <w:sz w:val="20"/>
          <w:u w:val="single"/>
        </w:rPr>
        <w:t>Blackout Periods.</w:t>
      </w:r>
      <w:r>
        <w:rPr>
          <w:color w:val="000000"/>
        </w:rPr>
        <w:t xml:space="preserve"> </w:t>
      </w:r>
      <w:r>
        <w:rPr>
          <w:rFonts w:ascii="Times New Roman;serif" w:hAnsi="Times New Roman;serif"/>
          <w:b w:val="false"/>
          <w:color w:val="000000"/>
          <w:sz w:val="20"/>
        </w:rPr>
        <w:t>If the Participant is subject to any Company “blackout” policy or other trading restriction imposed by the Company on the date distribution would otherwise be made pursuant to Section 4(b), distribution shall be instead made on the earlier of (i) the date that the Participant is not subject to any such policy or restriction and (ii) the later of (A) December 31 of the calendar year in which distribution would otherwise have been made and (B) the date that is immediately prior to the expiration of two and one-half months following the date distribution would otherwise have been made.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(d)</w:t>
      </w:r>
      <w:r>
        <w:rPr>
          <w:rFonts w:ascii="Times New Roman;serif" w:hAnsi="Times New Roman;serif"/>
          <w:b w:val="false"/>
          <w:color w:val="000000"/>
          <w:sz w:val="20"/>
          <w:u w:val="single"/>
        </w:rPr>
        <w:t>Short-Term Deferral</w:t>
      </w:r>
      <w:r>
        <w:rPr>
          <w:rFonts w:ascii="Times New Roman;serif" w:hAnsi="Times New Roman;serif"/>
          <w:b w:val="false"/>
          <w:color w:val="000000"/>
          <w:sz w:val="20"/>
        </w:rPr>
        <w:t>. This Award is intended to satisfy the “short-term deferral” rules of Section 409A of the Internal Revenue Code and the regulations thereunder and therefore is not subject to Section 409A of the Internal Revenue Code. If it is determined that this Award is not a short-term deferral, the administration of this Award shall comply with Section 409A of the Internal Revenue Code and the regulations thereunder.</w:t>
      </w:r>
    </w:p>
    <w:p>
      <w:pPr>
        <w:pStyle w:val="TextBody"/>
        <w:bidi w:val="0"/>
        <w:spacing w:before="0" w:after="0"/>
        <w:jc w:val="left"/>
        <w:rPr/>
      </w:pPr>
      <w:r>
        <w:rPr/>
      </w:r>
    </w:p>
    <w:p>
      <w:pPr>
        <w:pStyle w:val="TextBody"/>
        <w:bidi w:val="0"/>
        <w:spacing w:lineRule="auto" w:line="288"/>
        <w:ind w:left="0" w:right="0" w:hanging="360"/>
        <w:jc w:val="left"/>
        <w:rPr/>
      </w:pPr>
      <w:r>
        <w:rPr>
          <w:rFonts w:ascii="Times New Roman;serif" w:hAnsi="Times New Roman;serif"/>
          <w:b w:val="false"/>
          <w:color w:val="000000"/>
          <w:sz w:val="20"/>
        </w:rPr>
        <w:t>5.</w:t>
      </w:r>
      <w:r>
        <w:rPr>
          <w:rFonts w:ascii="Times New Roman;serif" w:hAnsi="Times New Roman;serif"/>
          <w:b/>
          <w:color w:val="000000"/>
          <w:sz w:val="20"/>
          <w:u w:val="single"/>
        </w:rPr>
        <w:t>Dividends; Rights as Stockholder</w:t>
      </w:r>
      <w:r>
        <w:rPr>
          <w:rFonts w:ascii="Times New Roman;serif" w:hAnsi="Times New Roman;serif"/>
          <w:b w:val="false"/>
          <w:color w:val="000000"/>
          <w:sz w:val="20"/>
        </w:rPr>
        <w:t xml:space="preserve">.  Cash dividends on shares of Common Stock underlying the RSUs shall be credited to a dividend book entry account on behalf of the Participant, provided that any cash dividends shall be held uninvested and without interest, shall be subject to the same vesting conditions as the RSUs to which they relate, and shall be paid in cash at the same time that the shares of Common Stock underlying the Vested RSUs (if any) are delivered to the Participant in accordance with </w:t>
      </w:r>
      <w:r>
        <w:rPr>
          <w:rFonts w:ascii="Times New Roman;serif" w:hAnsi="Times New Roman;serif"/>
          <w:b w:val="false"/>
          <w:color w:val="000000"/>
          <w:sz w:val="20"/>
          <w:u w:val="single"/>
        </w:rPr>
        <w:t>Section 4</w:t>
      </w:r>
      <w:r>
        <w:rPr>
          <w:rFonts w:ascii="Times New Roman;serif" w:hAnsi="Times New Roman;serif"/>
          <w:b w:val="false"/>
          <w:color w:val="000000"/>
          <w:sz w:val="20"/>
        </w:rPr>
        <w:t xml:space="preserve">.  Stock dividends on shares of Common Stock underlying the RSUs shall be credited to a dividend book entry account on behalf of the Participant, provided that any stock dividends shall be subject to the same vesting conditions as the RSUs to which they relate, and shall be paid in shares of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51460"/>
                <wp:effectExtent l="0" t="0" r="0" b="0"/>
                <wp:wrapNone/>
                <wp:docPr id="40" name="Frame4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Common Stock at the same time that the shares of Common Stock underlying the Vested RSUs (if any) are delivered to the Participant in accordance with </w:t>
      </w:r>
      <w:r>
        <w:rPr>
          <w:rFonts w:ascii="Times New Roman;serif" w:hAnsi="Times New Roman;serif"/>
          <w:b w:val="false"/>
          <w:color w:val="000000"/>
          <w:sz w:val="20"/>
          <w:u w:val="single"/>
        </w:rPr>
        <w:t>Section 4</w:t>
      </w:r>
      <w:r>
        <w:rPr>
          <w:rFonts w:ascii="Times New Roman;serif" w:hAnsi="Times New Roman;serif"/>
          <w:b w:val="false"/>
          <w:color w:val="000000"/>
          <w:sz w:val="20"/>
        </w:rPr>
        <w:t>.  The Participant shall have no rights as a stockholder with respect to any shares of Common Stock underlying any RSU unless and until the Participant has become the holder of record of such shares.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6.</w:t>
      </w:r>
      <w:r>
        <w:rPr>
          <w:rFonts w:ascii="Times New Roman;serif" w:hAnsi="Times New Roman;serif"/>
          <w:b/>
          <w:color w:val="000000"/>
          <w:sz w:val="20"/>
          <w:u w:val="single"/>
        </w:rPr>
        <w:t>Non-Transferability</w:t>
      </w:r>
      <w:r>
        <w:rPr>
          <w:rFonts w:ascii="Times New Roman;serif" w:hAnsi="Times New Roman;serif"/>
          <w:b w:val="false"/>
          <w:color w:val="000000"/>
          <w:sz w:val="20"/>
        </w:rPr>
        <w:t xml:space="preserve">.  No portion of the RSUs (or the shares of Common Stock underlying the RSUs) may be sold, assigned, transferred, encumbered, hypothecated or pledged by the Participant, other than to the Company as a result of forfeiture of the RSUs as provided in </w:t>
      </w:r>
      <w:r>
        <w:rPr>
          <w:rFonts w:ascii="Times New Roman;serif" w:hAnsi="Times New Roman;serif"/>
          <w:b w:val="false"/>
          <w:color w:val="000000"/>
          <w:sz w:val="20"/>
          <w:u w:val="single"/>
        </w:rPr>
        <w:t>Section 3</w:t>
      </w:r>
      <w:r>
        <w:rPr>
          <w:rFonts w:ascii="Times New Roman;serif" w:hAnsi="Times New Roman;serif"/>
          <w:b w:val="false"/>
          <w:color w:val="000000"/>
          <w:sz w:val="20"/>
        </w:rPr>
        <w:t xml:space="preserve">, unless and until the shares are delivered to the Participant in accordance with </w:t>
      </w:r>
      <w:r>
        <w:rPr>
          <w:rFonts w:ascii="Times New Roman;serif" w:hAnsi="Times New Roman;serif"/>
          <w:b w:val="false"/>
          <w:color w:val="000000"/>
          <w:sz w:val="20"/>
          <w:u w:val="single"/>
        </w:rPr>
        <w:t>Section 4</w:t>
      </w:r>
      <w:r>
        <w:rPr>
          <w:color w:val="000000"/>
        </w:rPr>
        <w:t xml:space="preserve"> </w:t>
      </w:r>
      <w:r>
        <w:rPr>
          <w:rFonts w:ascii="Times New Roman;serif" w:hAnsi="Times New Roman;serif"/>
          <w:b w:val="false"/>
          <w:color w:val="000000"/>
          <w:sz w:val="20"/>
        </w:rPr>
        <w:t>and the Participant has become the holder of record of the shares.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7.</w:t>
      </w:r>
      <w:r>
        <w:rPr>
          <w:rFonts w:ascii="Times New Roman;serif" w:hAnsi="Times New Roman;serif"/>
          <w:b/>
          <w:color w:val="000000"/>
          <w:sz w:val="20"/>
          <w:u w:val="single"/>
        </w:rPr>
        <w:t>Governing Law</w:t>
      </w:r>
      <w:r>
        <w:rPr>
          <w:rFonts w:ascii="Times New Roman;serif" w:hAnsi="Times New Roman;serif"/>
          <w:b w:val="false"/>
          <w:color w:val="000000"/>
          <w:sz w:val="20"/>
        </w:rPr>
        <w:t>.  All questions concerning the construction, validity and interpretation of this Agreement shall be governed by, and construed in accordance with, the laws of the State of Delaware, without regard to choice of law provisions.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8.</w:t>
      </w:r>
      <w:r>
        <w:rPr>
          <w:rFonts w:ascii="Times New Roman;serif" w:hAnsi="Times New Roman;serif"/>
          <w:b/>
          <w:color w:val="000000"/>
          <w:sz w:val="20"/>
          <w:u w:val="single"/>
        </w:rPr>
        <w:t>Tax Withholding</w:t>
      </w:r>
      <w:r>
        <w:rPr>
          <w:rFonts w:ascii="Times New Roman;serif" w:hAnsi="Times New Roman;serif"/>
          <w:b w:val="false"/>
          <w:color w:val="000000"/>
          <w:sz w:val="20"/>
        </w:rPr>
        <w:t xml:space="preserve">.  The Company may deduct or withhold, or require the Participant to remit to the Company, an amount sufficient to satisfy any federal, state, local and foreign taxes of any kind (including, but not limited to, the Participant’s FICA and SDI obligations) which the Company, in its sole discretion, deems necessary to be withheld or remitted to comply with the Code and/or any other applicable law, rule or regulation with respect to the RSUs. If the Participant fails to remit any amounts requested by the Company, the Company may otherwise refuse to issue or transfer any shares of Common Stock otherwise required to be issued pursuant to this Agreement.  The Participant acknowledges that if he or she is or becomes Retirement-eligible prior to the final vesting date, FICA and SDI obligations may apply prior to any payment pursuant to </w:t>
      </w:r>
      <w:r>
        <w:rPr>
          <w:rFonts w:ascii="Times New Roman;serif" w:hAnsi="Times New Roman;serif"/>
          <w:b w:val="false"/>
          <w:color w:val="000000"/>
          <w:sz w:val="20"/>
          <w:u w:val="single"/>
        </w:rPr>
        <w:t>Section 4</w:t>
      </w:r>
      <w:r>
        <w:rPr>
          <w:rFonts w:ascii="Times New Roman;serif" w:hAnsi="Times New Roman;serif"/>
          <w:b w:val="false"/>
          <w:color w:val="000000"/>
          <w:sz w:val="20"/>
        </w:rPr>
        <w:t>. For purposes of this Agreement, “</w:t>
      </w:r>
      <w:r>
        <w:rPr>
          <w:rFonts w:ascii="Times New Roman;serif" w:hAnsi="Times New Roman;serif"/>
          <w:b w:val="false"/>
          <w:color w:val="000000"/>
          <w:sz w:val="20"/>
          <w:u w:val="single"/>
        </w:rPr>
        <w:t>Retirement-eligible</w:t>
      </w:r>
      <w:r>
        <w:rPr>
          <w:color w:val="000000"/>
        </w:rPr>
        <w:t xml:space="preserve">” </w:t>
      </w:r>
      <w:r>
        <w:rPr>
          <w:rFonts w:ascii="Times New Roman;serif" w:hAnsi="Times New Roman;serif"/>
          <w:b w:val="false"/>
          <w:color w:val="000000"/>
          <w:sz w:val="20"/>
        </w:rPr>
        <w:t>means the earlier of: the calendar year in which the Participant attains age 62 and has completed at least 10 years of employment with the Company and its predecessors, or the calendar year in which the Participant attains age 65 and has completed at least 5 years of employment with the Company and its predecessors. Any applicable statutory required withholding obligation with regard to the Participant shall be satisfied by reducing the amount of cash or shares of Common Stock otherwise deliverable to the Participant.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9.</w:t>
      </w:r>
      <w:r>
        <w:rPr>
          <w:rFonts w:ascii="Times New Roman;serif" w:hAnsi="Times New Roman;serif"/>
          <w:b/>
          <w:color w:val="000000"/>
          <w:sz w:val="20"/>
          <w:u w:val="single"/>
        </w:rPr>
        <w:t>Securities Representations</w:t>
      </w:r>
      <w:r>
        <w:rPr>
          <w:rFonts w:ascii="Times New Roman;serif" w:hAnsi="Times New Roman;serif"/>
          <w:b w:val="false"/>
          <w:color w:val="000000"/>
          <w:sz w:val="20"/>
        </w:rPr>
        <w:t>.  This Agreement is being entered into by the Company in reliance upon the following express representations and warranties of the Participant.  The Participant acknowledges, represents and warrants that: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(a)The Participant has been advised that the Participant may be an “affiliate” within the meaning of Rule 144 under the Securities Act and in this connection the Company is relying in part on the Participant’s representations set forth in this </w:t>
      </w:r>
      <w:r>
        <w:rPr>
          <w:rFonts w:ascii="Times New Roman;serif" w:hAnsi="Times New Roman;serif"/>
          <w:b w:val="false"/>
          <w:color w:val="000000"/>
          <w:sz w:val="20"/>
          <w:u w:val="single"/>
        </w:rPr>
        <w:t>Section 9</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(b)If the Participant is deemed an affiliate within the meaning of Rule 144 of the Securities Act, the shares of Common Stock issuable hereunder must be held indefinitely unless an exemption from any applicable resale restrictions is available or the Company files an additional registration statement (or a “re-offer prospectus”) with regard to such shares of Common Stock and the Company is under no obligation to register such shares of Common Stock (or to file a “re-offer prospectus”).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(c)If the Participant is deemed an affiliate within the meaning of Rule 144 of the Securities Act, the Participant understands that (i) the exemption from registration under Rule 144 will not be available unless (A) a public trading market then exists for the Common Stock of the Company, (B) adequate information concerning the Company is then available to the public, and (C) other terms and conditions of Rule 144 or any exemption therefrom are complied with, and (ii) any sale of the shares of Common Stock issuable hereunder may be made only in limited amounts in accordance with the terms and conditions of Rule 144 or any exemption therefrom.</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10.</w:t>
      </w:r>
      <w:r>
        <w:rPr>
          <w:rFonts w:ascii="Times New Roman;serif" w:hAnsi="Times New Roman;serif"/>
          <w:b/>
          <w:color w:val="000000"/>
          <w:sz w:val="20"/>
          <w:u w:val="single"/>
        </w:rPr>
        <w:t>Entire Agreement; Amendment</w:t>
      </w:r>
      <w:r>
        <w:rPr>
          <w:rFonts w:ascii="Times New Roman;serif" w:hAnsi="Times New Roman;serif"/>
          <w:b w:val="false"/>
          <w:color w:val="000000"/>
          <w:sz w:val="20"/>
        </w:rPr>
        <w:t>.  This Agreement, together with the Plan, contains the entire agreement between the parties with respect to the grant of RSUs, and supersedes all prior agreements or prior understandings, whether written or oral, between the parties relating to such subject matter.  The Committee may, in its sole discretion, modify or amend this Agreement from time to time in accordance with and as provided in the Plan.  This Agreement may also be modified or amended by a writing signed by both the Company and the Participant.  The Company shall give written notice to the Participant of any such modification or amendment of this Agreement as soon as practical after the adoption of the modification or amendment.</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51460"/>
                <wp:effectExtent l="0" t="0" r="0" b="0"/>
                <wp:wrapNone/>
                <wp:docPr id="41" name="Frame4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val="false"/>
          <w:color w:val="000000"/>
          <w:sz w:val="20"/>
        </w:rPr>
        <w:t>11.</w:t>
      </w:r>
      <w:r>
        <w:rPr>
          <w:rFonts w:ascii="Times New Roman;serif" w:hAnsi="Times New Roman;serif"/>
          <w:b/>
          <w:color w:val="000000"/>
          <w:sz w:val="20"/>
          <w:u w:val="single"/>
        </w:rPr>
        <w:t>Notices</w:t>
      </w:r>
      <w:r>
        <w:rPr>
          <w:rFonts w:ascii="Times New Roman;serif" w:hAnsi="Times New Roman;serif"/>
          <w:b w:val="false"/>
          <w:color w:val="000000"/>
          <w:sz w:val="20"/>
        </w:rPr>
        <w:t>.  Any notice by the Participant shall be given to the General Counsel of the Company in writing and such notice shall be deemed duly given upon receipt by the General Counsel.  Any notice by the Company shall be given to the Participant in writing and such notice shall be deemed duly given upon receipt at the address the Participant has on file with the Company.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12.</w:t>
      </w:r>
      <w:r>
        <w:rPr>
          <w:rFonts w:ascii="Times New Roman;serif" w:hAnsi="Times New Roman;serif"/>
          <w:b/>
          <w:color w:val="000000"/>
          <w:sz w:val="20"/>
          <w:u w:val="single"/>
        </w:rPr>
        <w:t>No Right to Employment</w:t>
      </w:r>
      <w:r>
        <w:rPr>
          <w:rFonts w:ascii="Times New Roman;serif" w:hAnsi="Times New Roman;serif"/>
          <w:b w:val="false"/>
          <w:color w:val="000000"/>
          <w:sz w:val="20"/>
        </w:rPr>
        <w:t>.  Nothing in this Agreement shall interfere with or limit in any way the right of the Company, its Subsidiaries or its Affiliates to terminate the Participant’s employment or service at any time, for any reason and with or without Cause. Any questions as to whether and when there has been a Termination and the cause of such Termination shall be determined in the sole discretion of the Committee.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13.</w:t>
      </w:r>
      <w:r>
        <w:rPr>
          <w:rFonts w:ascii="Times New Roman;serif" w:hAnsi="Times New Roman;serif"/>
          <w:b/>
          <w:color w:val="000000"/>
          <w:sz w:val="20"/>
          <w:u w:val="single"/>
        </w:rPr>
        <w:t>Transfer of Personal Data</w:t>
      </w:r>
      <w:r>
        <w:rPr>
          <w:rFonts w:ascii="Times New Roman;serif" w:hAnsi="Times New Roman;serif"/>
          <w:b w:val="false"/>
          <w:color w:val="000000"/>
          <w:sz w:val="20"/>
        </w:rPr>
        <w:t>.  The Participant authorizes, agrees and unambiguously consents to the transmission by the Company (or any Subsidiary) of any personal data information related to the RSUs awarded under this Agreement for legitimate business purposes (including, without limitation, the administration of the Plan).  This authorization and consent is freely given by the Participant.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14.</w:t>
      </w:r>
      <w:r>
        <w:rPr>
          <w:rFonts w:ascii="Times New Roman;serif" w:hAnsi="Times New Roman;serif"/>
          <w:b/>
          <w:color w:val="000000"/>
          <w:sz w:val="20"/>
          <w:u w:val="single"/>
        </w:rPr>
        <w:t>Compliance with Laws</w:t>
      </w:r>
      <w:r>
        <w:rPr>
          <w:rFonts w:ascii="Times New Roman;serif" w:hAnsi="Times New Roman;serif"/>
          <w:b w:val="false"/>
          <w:color w:val="000000"/>
          <w:sz w:val="20"/>
        </w:rPr>
        <w:t>.  The grant of RSUs and the issuance of shares of Common Stock hereunder shall be subject to, and shall comply with, the requirements of any applicable foreign and U.S. federal and state laws, rules and regulations (including, without limitation, the provisions of the Securities Act, the Exchange Act and in each case the rules and regulations promulgated thereunder) and any applicable securities exchange requirement.  The Company shall not be obligated to issue the RSUs or any shares of Common Stock pursuant to this Agreement if issuance would violate any applicable requirements.  As a condition to the settlement of the RSUs, the Company may require the Participant to satisfy any qualifications that the Company may deem necessary or appropriate to evidence compliance with any applicable law or regulation.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15.</w:t>
      </w:r>
      <w:r>
        <w:rPr>
          <w:rFonts w:ascii="Times New Roman;serif" w:hAnsi="Times New Roman;serif"/>
          <w:b/>
          <w:color w:val="000000"/>
          <w:sz w:val="20"/>
          <w:u w:val="single"/>
        </w:rPr>
        <w:t>Binding Agreement; Assignment</w:t>
      </w:r>
      <w:r>
        <w:rPr>
          <w:rFonts w:ascii="Times New Roman;serif" w:hAnsi="Times New Roman;serif"/>
          <w:b w:val="false"/>
          <w:color w:val="000000"/>
          <w:sz w:val="20"/>
        </w:rPr>
        <w:t xml:space="preserve">.  This Agreement shall inure to the benefit of, be binding upon, and be enforceable by the Company and its successors and assigns.  The Participant shall not assign (except in accordance with </w:t>
      </w:r>
      <w:r>
        <w:rPr>
          <w:rFonts w:ascii="Times New Roman;serif" w:hAnsi="Times New Roman;serif"/>
          <w:b w:val="false"/>
          <w:color w:val="000000"/>
          <w:sz w:val="20"/>
          <w:u w:val="single"/>
        </w:rPr>
        <w:t>Section 6</w:t>
      </w:r>
      <w:r>
        <w:rPr>
          <w:rFonts w:ascii="Times New Roman;serif" w:hAnsi="Times New Roman;serif"/>
          <w:b w:val="false"/>
          <w:color w:val="000000"/>
          <w:sz w:val="20"/>
        </w:rPr>
        <w:t>) any part of this Agreement without the prior express written consent of the Company.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16.</w:t>
      </w:r>
      <w:r>
        <w:rPr>
          <w:rFonts w:ascii="Times New Roman;serif" w:hAnsi="Times New Roman;serif"/>
          <w:b/>
          <w:color w:val="000000"/>
          <w:sz w:val="20"/>
          <w:u w:val="single"/>
        </w:rPr>
        <w:t>Counterparts</w:t>
      </w:r>
      <w:r>
        <w:rPr>
          <w:rFonts w:ascii="Times New Roman;serif" w:hAnsi="Times New Roman;serif"/>
          <w:b w:val="false"/>
          <w:color w:val="000000"/>
          <w:sz w:val="20"/>
        </w:rPr>
        <w:t>.  This Agreement may be executed in one or more counterparts, each of which shall be deemed to be an original, but all of which shall constitute one and the same instrument.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17.</w:t>
      </w:r>
      <w:r>
        <w:rPr>
          <w:rFonts w:ascii="Times New Roman;serif" w:hAnsi="Times New Roman;serif"/>
          <w:b/>
          <w:color w:val="000000"/>
          <w:sz w:val="20"/>
          <w:u w:val="single"/>
        </w:rPr>
        <w:t>Further Assurances</w:t>
      </w:r>
      <w:r>
        <w:rPr>
          <w:rFonts w:ascii="Times New Roman;serif" w:hAnsi="Times New Roman;serif"/>
          <w:b w:val="false"/>
          <w:color w:val="000000"/>
          <w:sz w:val="20"/>
        </w:rPr>
        <w:t>.  Each party shall do and perform (or shall cause to be done and performed) all further acts and shall execute and deliver all other agreements, certificates, instruments and documents as either party may reasonably request in order to carry out the intent and accomplish the purposes of this Agreement and the Plan and the consummation of the transactions contemplated hereunder.</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18.</w:t>
      </w:r>
      <w:r>
        <w:rPr>
          <w:rFonts w:ascii="Times New Roman;serif" w:hAnsi="Times New Roman;serif"/>
          <w:b/>
          <w:color w:val="000000"/>
          <w:sz w:val="20"/>
          <w:u w:val="single"/>
        </w:rPr>
        <w:t>Severability</w:t>
      </w:r>
      <w:r>
        <w:rPr>
          <w:rFonts w:ascii="Times New Roman;serif" w:hAnsi="Times New Roman;serif"/>
          <w:b w:val="false"/>
          <w:color w:val="000000"/>
          <w:sz w:val="20"/>
        </w:rPr>
        <w:t>.  The invalidity or unenforceability of any provisions of this Agreement in any jurisdiction shall not affect the validity, legality or enforceability of the remainder of this Agreement in that jurisdiction or the validity, legality or enforceability of any provision of this Agreement in any other jurisdiction, it being intended that all rights and obligations of the parties shall be enforceable to the fullest extent permitted by law.</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19.</w:t>
      </w:r>
      <w:r>
        <w:rPr>
          <w:rFonts w:ascii="Times New Roman;serif" w:hAnsi="Times New Roman;serif"/>
          <w:b/>
          <w:color w:val="000000"/>
          <w:sz w:val="20"/>
          <w:u w:val="single"/>
        </w:rPr>
        <w:t>Acquired Rights</w:t>
      </w:r>
      <w:r>
        <w:rPr>
          <w:rFonts w:ascii="Times New Roman;serif" w:hAnsi="Times New Roman;serif"/>
          <w:b w:val="false"/>
          <w:color w:val="000000"/>
          <w:sz w:val="20"/>
        </w:rPr>
        <w:t>.  The Participant acknowledges and agrees that: (a) the Company may terminate or amend the Plan at any time; (b) the Award of RSUs made under this Agreement is completely independent of any other award or grant and is made at the sole discretion of the Company; (c) no past grants or awards (including, without limitation, the RSUs awarded under this Agreement) give the Participant any right to any grants or awards in the future; and (d) any benefits granted under this Agreement are not part of the Participant’s ordinary salary, and shall not be considered as part of such salary in the event of severance, resignation or any other Termination.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20.</w:t>
      </w:r>
      <w:r>
        <w:rPr>
          <w:rFonts w:ascii="Times New Roman;serif" w:hAnsi="Times New Roman;serif"/>
          <w:b/>
          <w:color w:val="000000"/>
          <w:sz w:val="20"/>
          <w:u w:val="single"/>
        </w:rPr>
        <w:t>Clawback</w:t>
      </w:r>
      <w:r>
        <w:rPr>
          <w:rFonts w:ascii="Times New Roman;serif" w:hAnsi="Times New Roman;serif"/>
          <w:b w:val="false"/>
          <w:color w:val="000000"/>
          <w:sz w:val="20"/>
        </w:rPr>
        <w:t>.  The rights contained in this Agreement shall be subject to (i) any right that the Company may have under the Plan, any Company recoupment policy or other agreement or arrangement with the Participant, or (ii) any right or obligation that the Company may have regarding the clawback of incentive-based compensation under Section 10D of the Exchange Act, as amended (as determined by the rules and regulations promulgated thereunder from time to time by the U.S. Securities and Exchange Commission) or other applicable law.</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51460"/>
                <wp:effectExtent l="0" t="0" r="0" b="0"/>
                <wp:wrapNone/>
                <wp:docPr id="42" name="Frame4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STOCK UNIT AGREEMENT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BOISE CASCADE OMNIBUS INCENTIVE PLAN</w:t>
      </w:r>
    </w:p>
    <w:p>
      <w:pPr>
        <w:pStyle w:val="TextBody"/>
        <w:bidi w:val="0"/>
        <w:spacing w:lineRule="auto" w:line="288" w:before="0" w:after="0"/>
        <w:jc w:val="center"/>
        <w:rPr>
          <w:color w:val="000000"/>
        </w:rPr>
      </w:pPr>
      <w:r>
        <w:rPr>
          <w:color w:val="000000"/>
        </w:rPr>
        <w:t> </w:t>
      </w:r>
    </w:p>
    <w:tbl>
      <w:tblPr>
        <w:tblW w:w="2580" w:type="dxa"/>
        <w:jc w:val="left"/>
        <w:tblInd w:w="0" w:type="dxa"/>
        <w:tblLayout w:type="fixed"/>
        <w:tblCellMar>
          <w:top w:w="28" w:type="dxa"/>
          <w:left w:w="28" w:type="dxa"/>
          <w:bottom w:w="28" w:type="dxa"/>
          <w:right w:w="28" w:type="dxa"/>
        </w:tblCellMar>
      </w:tblPr>
      <w:tblGrid>
        <w:gridCol w:w="434"/>
        <w:gridCol w:w="382"/>
        <w:gridCol w:w="384"/>
        <w:gridCol w:w="404"/>
        <w:gridCol w:w="404"/>
        <w:gridCol w:w="572"/>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color w:val="000000"/>
                <w:sz w:val="20"/>
              </w:rPr>
              <w:t>Participant:</w:t>
            </w:r>
          </w:p>
        </w:tc>
        <w:tc>
          <w:tcPr>
            <w:tcW w:w="1380"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20"/>
              </w:rPr>
            </w:pPr>
            <w:r>
              <w:rPr>
                <w:rFonts w:ascii="Times New Roman;serif" w:hAnsi="Times New Roman;serif"/>
                <w:b/>
                <w:color w:val="000000"/>
                <w:sz w:val="20"/>
              </w:rPr>
              <w:t>[ ]</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20"/>
              </w:rPr>
            </w:pPr>
            <w:r>
              <w:rPr>
                <w:rFonts w:ascii="Times New Roman;serif" w:hAnsi="Times New Roman;serif"/>
                <w:b/>
                <w:color w:val="000000"/>
                <w:sz w:val="20"/>
              </w:rPr>
              <w:t>Grant Date:</w:t>
            </w:r>
          </w:p>
        </w:tc>
        <w:tc>
          <w:tcPr>
            <w:tcW w:w="1380"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20"/>
              </w:rPr>
            </w:pPr>
            <w:r>
              <w:rPr>
                <w:rFonts w:ascii="Times New Roman;serif" w:hAnsi="Times New Roman;serif"/>
                <w:b/>
                <w:color w:val="000000"/>
                <w:sz w:val="20"/>
              </w:rPr>
              <w:t>March 1, 2026</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Target Number of Performance Stock Units (the “</w:t>
      </w:r>
      <w:r>
        <w:rPr>
          <w:rFonts w:ascii="Times New Roman;serif" w:hAnsi="Times New Roman;serif"/>
          <w:b/>
          <w:color w:val="000000"/>
          <w:sz w:val="20"/>
          <w:u w:val="single"/>
        </w:rPr>
        <w:t>Target PSUs</w:t>
      </w:r>
      <w:r>
        <w:rPr>
          <w:color w:val="000000"/>
        </w:rPr>
        <w:t>”</w:t>
      </w:r>
      <w:r>
        <w:rPr>
          <w:rFonts w:ascii="Times New Roman;serif" w:hAnsi="Times New Roman;serif"/>
          <w:b/>
          <w:color w:val="000000"/>
          <w:sz w:val="20"/>
        </w:rPr>
        <w:t>):    [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THIS PERFORMANCE STOCK UNIT AWARD AGREEMENT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dated as of the Grant Date above, is entered into by and between Boise Cascade Company, a corporation organized in the State of Delaware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the Participant specified above, pursuant to the 2025 Boise Cascade Omnibus Incentive Plan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This Agreement is not enforceable until you accept the Agreement electronically.  Electronic acceptance constitutes your acknowledgment of receipt of the Award and your agreement to the terms of the Agreement.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u w:val="single"/>
        </w:rPr>
        <w:t>Incorporation by Reference; Plan Document Receipt</w:t>
      </w:r>
      <w:r>
        <w:rPr>
          <w:rFonts w:ascii="Times New Roman;serif" w:hAnsi="Times New Roman;serif"/>
          <w:b w:val="false"/>
          <w:color w:val="000000"/>
          <w:sz w:val="20"/>
        </w:rPr>
        <w:t>.  This Agreement is subject in all respects to the terms and provisions of the Plan (including, without limitation, any amendments to the Plan adopted at any time unless such amendments are expressly intended not to apply to this Agreement), and the terms and provisions of the Plan are made a part of and incorporated in this Agreement as if they were set forth in this Agreement.  Any capitalized term not defined in this Agreement shall have the meaning given in the Plan.  The Participant acknowledges receipt of a copy of the Plan and that he or she has read the Plan carefully and fully understands it.  If there is any conflict between the terms of this Agreement and the terms of the Plan, the terms of the Plan control.</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u w:val="single"/>
        </w:rPr>
        <w:t>Grant of Performance Stock Unit Award</w:t>
      </w:r>
      <w:r>
        <w:rPr>
          <w:rFonts w:ascii="Times New Roman;serif" w:hAnsi="Times New Roman;serif"/>
          <w:b w:val="false"/>
          <w:color w:val="000000"/>
          <w:sz w:val="20"/>
        </w:rPr>
        <w:t xml:space="preserve">.  The Company grants to the Participant, as of the Grant Date, the number of PSUs specified above, as adjusted pursuant to </w:t>
      </w:r>
      <w:r>
        <w:rPr>
          <w:rFonts w:ascii="Times New Roman;serif" w:hAnsi="Times New Roman;serif"/>
          <w:b w:val="false"/>
          <w:color w:val="000000"/>
          <w:sz w:val="20"/>
          <w:u w:val="single"/>
        </w:rPr>
        <w:t>Section 3(a)</w:t>
      </w:r>
      <w:r>
        <w:rPr>
          <w:rFonts w:ascii="Times New Roman;serif" w:hAnsi="Times New Roman;serif"/>
          <w:b w:val="false"/>
          <w:color w:val="000000"/>
          <w:sz w:val="20"/>
        </w:rPr>
        <w:t>.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No adjustments shall be made for dividends in cash or other property, distributions or other rights in respect of the shares of Common Stock underlying the PSUs, except as otherwise specifically provided for in the Plan or this Agreement.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rFonts w:ascii="Times New Roman;serif" w:hAnsi="Times New Roman;serif"/>
          <w:b/>
          <w:color w:val="000000"/>
          <w:sz w:val="20"/>
          <w:u w:val="single"/>
        </w:rPr>
        <w:t>Vesting</w:t>
      </w:r>
      <w:r>
        <w:rPr>
          <w:rFonts w:ascii="Times New Roman;serif" w:hAnsi="Times New Roman;serif"/>
          <w:b w:val="false"/>
          <w:color w:val="000000"/>
          <w:sz w:val="20"/>
        </w:rPr>
        <w:t>.  The PSUs subject to this Award are subject to both a time-based vesting condition (the “</w:t>
      </w:r>
      <w:r>
        <w:rPr>
          <w:rFonts w:ascii="Times New Roman;serif" w:hAnsi="Times New Roman;serif"/>
          <w:b w:val="false"/>
          <w:color w:val="000000"/>
          <w:sz w:val="20"/>
          <w:u w:val="single"/>
        </w:rPr>
        <w:t>Time-Based Condition</w:t>
      </w:r>
      <w:r>
        <w:rPr>
          <w:color w:val="000000"/>
        </w:rPr>
        <w:t>”</w:t>
      </w:r>
      <w:r>
        <w:rPr>
          <w:rFonts w:ascii="Times New Roman;serif" w:hAnsi="Times New Roman;serif"/>
          <w:b w:val="false"/>
          <w:color w:val="000000"/>
          <w:sz w:val="20"/>
        </w:rPr>
        <w:t>) and a performance-based vesting condition (the “</w:t>
      </w:r>
      <w:r>
        <w:rPr>
          <w:rFonts w:ascii="Times New Roman;serif" w:hAnsi="Times New Roman;serif"/>
          <w:b w:val="false"/>
          <w:color w:val="000000"/>
          <w:sz w:val="20"/>
          <w:u w:val="single"/>
        </w:rPr>
        <w:t>Performance Condition</w:t>
      </w:r>
      <w:r>
        <w:rPr>
          <w:color w:val="000000"/>
        </w:rPr>
        <w:t>”</w:t>
      </w:r>
      <w:r>
        <w:rPr>
          <w:rFonts w:ascii="Times New Roman;serif" w:hAnsi="Times New Roman;serif"/>
          <w:b w:val="false"/>
          <w:color w:val="000000"/>
          <w:sz w:val="20"/>
        </w:rPr>
        <w:t>).  None of the PSUs shall vest unless and until both the Time-Based Condition and the Performance Condition are satisfied.</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Performance Condition</w:t>
      </w:r>
      <w:r>
        <w:rPr>
          <w:rFonts w:ascii="Times New Roman;serif" w:hAnsi="Times New Roman;serif"/>
          <w:b w:val="false"/>
          <w:color w:val="000000"/>
          <w:sz w:val="20"/>
        </w:rPr>
        <w:t>.  The Performance Condition is based upon the Company’s ROIC for the 2026, 2027, and 2028 calendar years (the “</w:t>
      </w:r>
      <w:r>
        <w:rPr>
          <w:rFonts w:ascii="Times New Roman;serif" w:hAnsi="Times New Roman;serif"/>
          <w:b w:val="false"/>
          <w:color w:val="000000"/>
          <w:sz w:val="20"/>
          <w:u w:val="single"/>
        </w:rPr>
        <w:t>Performance Period</w:t>
      </w:r>
      <w:r>
        <w:rPr>
          <w:color w:val="000000"/>
        </w:rPr>
        <w:t>”</w:t>
      </w:r>
      <w:r>
        <w:rPr>
          <w:rFonts w:ascii="Times New Roman;serif" w:hAnsi="Times New Roman;serif"/>
          <w:b w:val="false"/>
          <w:color w:val="000000"/>
          <w:sz w:val="20"/>
        </w:rPr>
        <w:t>).  Following the end of the Performance Period, but in no event later than March 1, 2029, the Committee shall determine the percentage of total Target PSUs that are earned (the “</w:t>
      </w:r>
      <w:r>
        <w:rPr>
          <w:rFonts w:ascii="Times New Roman;serif" w:hAnsi="Times New Roman;serif"/>
          <w:b w:val="false"/>
          <w:color w:val="000000"/>
          <w:sz w:val="20"/>
          <w:u w:val="single"/>
        </w:rPr>
        <w:t>Earned PSUs</w:t>
      </w:r>
      <w:r>
        <w:rPr>
          <w:color w:val="000000"/>
        </w:rPr>
        <w:t>”</w:t>
      </w:r>
      <w:r>
        <w:rPr>
          <w:rFonts w:ascii="Times New Roman;serif" w:hAnsi="Times New Roman;serif"/>
          <w:b w:val="false"/>
          <w:color w:val="000000"/>
          <w:sz w:val="20"/>
        </w:rPr>
        <w:t>) based on the following formula. Following the end of each calendar year included in the Performance Period, the Committee shall certify the Company’s ROIC for that calendar year and, based on the level of ROIC achieved in the table below, shall determine the Percentage of Target PSUs for that year. The average of the Percentage of Target PSUs for each of the three calendar years included in the Performance Period will be considered the Earned PSUs. For example, if the ROIC achieved for 2026 is [max %], and the ROIC achieved for 2027 is [target %] and the ROIC achieved for 2028 is [target %], then the Earned PSUs will be 133.33% of Target PSUs.</w:t>
      </w:r>
    </w:p>
    <w:p>
      <w:pPr>
        <w:pStyle w:val="TextBody"/>
        <w:bidi w:val="0"/>
        <w:spacing w:before="0" w:after="0"/>
        <w:jc w:val="left"/>
        <w:rPr/>
      </w:pPr>
      <w:r>
        <w:rPr/>
      </w:r>
    </w:p>
    <w:tbl>
      <w:tblPr>
        <w:tblW w:w="6609" w:type="dxa"/>
        <w:jc w:val="left"/>
        <w:tblInd w:w="0" w:type="dxa"/>
        <w:tblLayout w:type="fixed"/>
        <w:tblCellMar>
          <w:top w:w="28" w:type="dxa"/>
          <w:left w:w="28" w:type="dxa"/>
          <w:bottom w:w="28" w:type="dxa"/>
          <w:right w:w="28" w:type="dxa"/>
        </w:tblCellMar>
      </w:tblPr>
      <w:tblGrid>
        <w:gridCol w:w="712"/>
        <w:gridCol w:w="626"/>
        <w:gridCol w:w="628"/>
        <w:gridCol w:w="109"/>
        <w:gridCol w:w="109"/>
        <w:gridCol w:w="109"/>
        <w:gridCol w:w="494"/>
        <w:gridCol w:w="494"/>
        <w:gridCol w:w="496"/>
        <w:gridCol w:w="109"/>
        <w:gridCol w:w="109"/>
        <w:gridCol w:w="109"/>
        <w:gridCol w:w="733"/>
        <w:gridCol w:w="733"/>
        <w:gridCol w:w="1039"/>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20"/>
              </w:rPr>
            </w:pPr>
            <w:r>
              <w:rPr>
                <w:rFonts w:ascii="Times New Roman;serif" w:hAnsi="Times New Roman;serif"/>
                <w:b/>
                <w:color w:val="000000"/>
                <w:sz w:val="20"/>
              </w:rPr>
              <w:t>Level of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100" w:after="100"/>
              <w:jc w:val="center"/>
              <w:rPr>
                <w:color w:val="000000"/>
              </w:rPr>
            </w:pPr>
            <w:r>
              <w:rPr>
                <w:color w:val="000000"/>
              </w:rPr>
              <w:t> </w:t>
            </w:r>
            <w:r>
              <w:rPr>
                <w:rFonts w:ascii="Times New Roman;serif" w:hAnsi="Times New Roman;serif"/>
                <w:b/>
                <w:color w:val="000000"/>
                <w:sz w:val="20"/>
              </w:rPr>
              <w:t>ROIC Achieved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20"/>
              </w:rPr>
            </w:pPr>
            <w:r>
              <w:rPr>
                <w:rFonts w:ascii="Times New Roman;serif" w:hAnsi="Times New Roman;serif"/>
                <w:b/>
                <w:color w:val="000000"/>
                <w:sz w:val="20"/>
              </w:rPr>
              <w:t>Percentage of Target PSUs</w:t>
            </w:r>
          </w:p>
        </w:tc>
      </w:tr>
      <w:tr>
        <w:trPr/>
        <w:tc>
          <w:tcPr>
            <w:tcW w:w="1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Maximum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200% (the Maximum Shares)</w:t>
            </w:r>
          </w:p>
        </w:tc>
      </w:tr>
      <w:tr>
        <w:trPr/>
        <w:tc>
          <w:tcPr>
            <w:tcW w:w="1966"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Threshold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before="0" w:after="0"/>
        <w:ind w:left="0" w:right="0" w:firstLine="72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i.For each calendar year included in the Performance Period, the Percentage of Target PSUs for the actual annual ROIC between the Threshold level and the Target level or between the Target level and the Maximum level shall be determined on a pro rata basis using straight line interpolation. The number of Earned PSUs shall not exceed 200% of Target PSUs.</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01980"/>
                <wp:effectExtent l="0" t="0" r="0" b="0"/>
                <wp:wrapNone/>
                <wp:docPr id="43" name="Frame43"/>
                <a:graphic xmlns:a="http://schemas.openxmlformats.org/drawingml/2006/main">
                  <a:graphicData uri="http://schemas.microsoft.com/office/word/2010/wordprocessingShape">
                    <wps:wsp>
                      <wps:cNvSpPr txBox="1"/>
                      <wps:spPr>
                        <a:xfrm>
                          <a:off x="0" y="0"/>
                          <a:ext cx="6480175" cy="601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p>
                            <w:pPr>
                              <w:pStyle w:val="TextBody"/>
                              <w:bidi w:val="0"/>
                              <w:spacing w:before="12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120" w:after="283"/>
                        <w:jc w:val="right"/>
                        <w:rPr/>
                      </w:pPr>
                      <w:r>
                        <w:rPr/>
                      </w:r>
                    </w:p>
                  </w:txbxContent>
                </v:textbox>
                <w10:wrap type="none"/>
              </v:rect>
            </w:pict>
          </mc:Fallback>
        </mc:AlternateContent>
      </w:r>
    </w:p>
    <w:p>
      <w:pPr>
        <w:pStyle w:val="TextBody"/>
        <w:bidi w:val="0"/>
        <w:spacing w:lineRule="auto" w:line="288" w:before="0" w:after="0"/>
        <w:ind w:left="0" w:right="0" w:hanging="180"/>
        <w:jc w:val="left"/>
        <w:rPr/>
      </w:pPr>
      <w:r>
        <w:rPr>
          <w:rFonts w:ascii="Times New Roman;serif" w:hAnsi="Times New Roman;serif"/>
          <w:b w:val="false"/>
          <w:color w:val="000000"/>
          <w:sz w:val="20"/>
        </w:rPr>
        <w:t>ii.</w:t>
      </w:r>
      <w:r>
        <w:rPr>
          <w:rFonts w:ascii="Times New Roman;serif" w:hAnsi="Times New Roman;serif"/>
          <w:b w:val="false"/>
          <w:color w:val="000000"/>
          <w:sz w:val="20"/>
          <w:u w:val="single"/>
        </w:rPr>
        <w:t>ROIC</w:t>
      </w:r>
      <w:r>
        <w:rPr>
          <w:rFonts w:ascii="Times New Roman;serif" w:hAnsi="Times New Roman;serif"/>
          <w:b w:val="false"/>
          <w:color w:val="000000"/>
          <w:sz w:val="20"/>
        </w:rPr>
        <w:t>. For purposes of this Agreement, “</w:t>
      </w:r>
      <w:r>
        <w:rPr>
          <w:rFonts w:ascii="Times New Roman;serif" w:hAnsi="Times New Roman;serif"/>
          <w:b w:val="false"/>
          <w:color w:val="000000"/>
          <w:sz w:val="20"/>
          <w:u w:val="single"/>
        </w:rPr>
        <w:t>ROIC</w:t>
      </w:r>
      <w:r>
        <w:rPr>
          <w:color w:val="000000"/>
        </w:rPr>
        <w:t xml:space="preserve">” </w:t>
      </w:r>
      <w:r>
        <w:rPr>
          <w:rFonts w:ascii="Times New Roman;serif" w:hAnsi="Times New Roman;serif"/>
          <w:b w:val="false"/>
          <w:color w:val="000000"/>
          <w:sz w:val="20"/>
        </w:rPr>
        <w:t xml:space="preserve">is defined in </w:t>
      </w:r>
      <w:r>
        <w:rPr>
          <w:rFonts w:ascii="Times New Roman;serif" w:hAnsi="Times New Roman;serif"/>
          <w:b w:val="false"/>
          <w:color w:val="000000"/>
          <w:sz w:val="20"/>
          <w:u w:val="single"/>
        </w:rPr>
        <w:t>Exhibit A</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20"/>
        </w:rPr>
        <w:t>iii.</w:t>
      </w:r>
      <w:r>
        <w:rPr>
          <w:rFonts w:ascii="Times New Roman;serif" w:hAnsi="Times New Roman;serif"/>
          <w:b w:val="false"/>
          <w:color w:val="000000"/>
          <w:sz w:val="20"/>
          <w:u w:val="single"/>
        </w:rPr>
        <w:t>Change in Control.</w:t>
      </w:r>
      <w:r>
        <w:rPr>
          <w:color w:val="000000"/>
        </w:rPr>
        <w:t xml:space="preserve"> </w:t>
      </w:r>
      <w:r>
        <w:rPr>
          <w:rFonts w:ascii="Times New Roman;serif" w:hAnsi="Times New Roman;serif"/>
          <w:b w:val="false"/>
          <w:color w:val="000000"/>
          <w:sz w:val="20"/>
        </w:rPr>
        <w:t>If a Change in Control occurs during the Performance Period, then the number of Earned PSUs shall be calculated based on Section 3(a) above, provided that achievement for completed calendar years in the Performance Period shall be based on actual performance and achievement for incomplete calendar years in the Performance Periods shall be based on the Target level of performance; provided however that this Section 3(a)(iii) shall not apply if the PSUs are replaced by an equivalent award providing for accelerated vesting in connection with the Participant’s termination from employment or service with the Company (“Termination”) following the Change in Control, as determined by the Committee in its sole discretion.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Time-Based Condition</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hanging="180"/>
        <w:jc w:val="left"/>
        <w:rPr/>
      </w:pPr>
      <w:r>
        <w:rPr>
          <w:rFonts w:ascii="Times New Roman;serif" w:hAnsi="Times New Roman;serif"/>
          <w:b w:val="false"/>
          <w:color w:val="000000"/>
          <w:sz w:val="20"/>
        </w:rPr>
        <w:t>i.</w:t>
      </w:r>
      <w:r>
        <w:rPr>
          <w:rFonts w:ascii="Times New Roman;serif" w:hAnsi="Times New Roman;serif"/>
          <w:b w:val="false"/>
          <w:color w:val="000000"/>
          <w:sz w:val="20"/>
          <w:u w:val="single"/>
        </w:rPr>
        <w:t>Vesting Date</w:t>
      </w:r>
      <w:r>
        <w:rPr>
          <w:rFonts w:ascii="Times New Roman;serif" w:hAnsi="Times New Roman;serif"/>
          <w:b w:val="false"/>
          <w:color w:val="000000"/>
          <w:sz w:val="20"/>
        </w:rPr>
        <w:t>. Earned PSUs will satisfy the Time-Based Condition and vest on March 1, 2029 (the “</w:t>
      </w:r>
      <w:r>
        <w:rPr>
          <w:rFonts w:ascii="Times New Roman;serif" w:hAnsi="Times New Roman;serif"/>
          <w:b w:val="false"/>
          <w:color w:val="000000"/>
          <w:sz w:val="20"/>
          <w:u w:val="single"/>
        </w:rPr>
        <w:t>Vesting Date</w:t>
      </w:r>
      <w:r>
        <w:rPr>
          <w:color w:val="000000"/>
        </w:rPr>
        <w:t>”</w:t>
      </w:r>
      <w:r>
        <w:rPr>
          <w:rFonts w:ascii="Times New Roman;serif" w:hAnsi="Times New Roman;serif"/>
          <w:b w:val="false"/>
          <w:color w:val="000000"/>
          <w:sz w:val="20"/>
        </w:rPr>
        <w:t xml:space="preserve">). Except as otherwise provided in this </w:t>
      </w:r>
      <w:r>
        <w:rPr>
          <w:rFonts w:ascii="Times New Roman;serif" w:hAnsi="Times New Roman;serif"/>
          <w:b w:val="false"/>
          <w:color w:val="000000"/>
          <w:sz w:val="20"/>
          <w:u w:val="single"/>
        </w:rPr>
        <w:t>Section 3(b)</w:t>
      </w:r>
      <w:r>
        <w:rPr>
          <w:rFonts w:ascii="Times New Roman;serif" w:hAnsi="Times New Roman;serif"/>
          <w:b w:val="false"/>
          <w:color w:val="000000"/>
          <w:sz w:val="20"/>
        </w:rPr>
        <w:t xml:space="preserve">, a Participant must be employed on the Vesting Date to satisfy the Time-Based Condition with respect to Earned PSUs. If a Participant incurs a Termination prior to the Vesting Date other than as provided in this </w:t>
      </w:r>
      <w:r>
        <w:rPr>
          <w:rFonts w:ascii="Times New Roman;serif" w:hAnsi="Times New Roman;serif"/>
          <w:b w:val="false"/>
          <w:color w:val="000000"/>
          <w:sz w:val="20"/>
          <w:u w:val="single"/>
        </w:rPr>
        <w:t>Section 3(b)</w:t>
      </w:r>
      <w:r>
        <w:rPr>
          <w:rFonts w:ascii="Times New Roman;serif" w:hAnsi="Times New Roman;serif"/>
          <w:b w:val="false"/>
          <w:color w:val="000000"/>
          <w:sz w:val="20"/>
        </w:rPr>
        <w:t>, all PSUs will be forfeited immediately following the Participant’s Termination.</w:t>
      </w:r>
    </w:p>
    <w:p>
      <w:pPr>
        <w:pStyle w:val="TextBody"/>
        <w:bidi w:val="0"/>
        <w:spacing w:before="0" w:after="0"/>
        <w:ind w:left="0" w:right="0" w:firstLine="2160"/>
        <w:jc w:val="left"/>
        <w:rPr/>
      </w:pPr>
      <w:r>
        <w:rPr/>
      </w:r>
    </w:p>
    <w:p>
      <w:pPr>
        <w:pStyle w:val="TextBody"/>
        <w:bidi w:val="0"/>
        <w:spacing w:lineRule="auto" w:line="288" w:before="0" w:after="0"/>
        <w:ind w:left="0" w:right="0" w:hanging="180"/>
        <w:jc w:val="left"/>
        <w:rPr/>
      </w:pPr>
      <w:r>
        <w:rPr>
          <w:rFonts w:ascii="Times New Roman;serif" w:hAnsi="Times New Roman;serif"/>
          <w:b w:val="false"/>
          <w:color w:val="000000"/>
          <w:sz w:val="20"/>
        </w:rPr>
        <w:t>ii.</w:t>
      </w:r>
      <w:r>
        <w:rPr>
          <w:rFonts w:ascii="Times New Roman;serif" w:hAnsi="Times New Roman;serif"/>
          <w:b w:val="false"/>
          <w:color w:val="000000"/>
          <w:sz w:val="20"/>
          <w:u w:val="single"/>
        </w:rPr>
        <w:t>No Partial Vesting</w:t>
      </w:r>
      <w:r>
        <w:rPr>
          <w:rFonts w:ascii="Times New Roman;serif" w:hAnsi="Times New Roman;serif"/>
          <w:b w:val="false"/>
          <w:color w:val="000000"/>
          <w:sz w:val="20"/>
        </w:rPr>
        <w:t xml:space="preserve">. Except as provided pursuant to </w:t>
      </w:r>
      <w:r>
        <w:rPr>
          <w:rFonts w:ascii="Times New Roman;serif" w:hAnsi="Times New Roman;serif"/>
          <w:b w:val="false"/>
          <w:color w:val="000000"/>
          <w:sz w:val="20"/>
          <w:u w:val="single"/>
        </w:rPr>
        <w:t>Section 3(b)(v) or Section 3(b)(vi)</w:t>
      </w:r>
      <w:r>
        <w:rPr>
          <w:rFonts w:ascii="Times New Roman;serif" w:hAnsi="Times New Roman;serif"/>
          <w:b w:val="false"/>
          <w:color w:val="000000"/>
          <w:sz w:val="20"/>
        </w:rPr>
        <w:t>, there shall be no proportionate or partial vesting prior to the Vesting Date.</w:t>
      </w:r>
    </w:p>
    <w:p>
      <w:pPr>
        <w:pStyle w:val="TextBody"/>
        <w:bidi w:val="0"/>
        <w:spacing w:before="0" w:after="0"/>
        <w:ind w:left="0" w:right="0" w:firstLine="216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20"/>
        </w:rPr>
        <w:t>iii.</w:t>
      </w:r>
      <w:r>
        <w:rPr>
          <w:rFonts w:ascii="Times New Roman;serif" w:hAnsi="Times New Roman;serif"/>
          <w:b w:val="false"/>
          <w:color w:val="000000"/>
          <w:sz w:val="20"/>
          <w:u w:val="single"/>
        </w:rPr>
        <w:t>Change in Control</w:t>
      </w:r>
      <w:r>
        <w:rPr>
          <w:rFonts w:ascii="Times New Roman;serif" w:hAnsi="Times New Roman;serif"/>
          <w:b w:val="false"/>
          <w:color w:val="000000"/>
          <w:sz w:val="20"/>
        </w:rPr>
        <w:t xml:space="preserve">.  If a Change in Control which constitutes a “change in the ownership of the corporation,” a “change in effective control of the corporation,” or a “change in the ownership of a substantial portion of the assets of the corporation,” as those terms are defined pursuant to Section 409A of the Internal Revenue Code and the regulations thereunder, occurs prior to the Vesting Date, then the Time-Based Condition shall be satisfied for all Earned PSUs as of the date of the Change in Control and the Earned PSUs shall vest as of the date of the Change in Control, so long as the Participant has not incurred a Termination prior to the Change in Control; provided that this </w:t>
      </w:r>
      <w:r>
        <w:rPr>
          <w:rFonts w:ascii="Times New Roman;serif" w:hAnsi="Times New Roman;serif"/>
          <w:b w:val="false"/>
          <w:color w:val="000000"/>
          <w:sz w:val="20"/>
          <w:u w:val="single"/>
        </w:rPr>
        <w:t>Section 3(b)(iii)</w:t>
      </w:r>
      <w:r>
        <w:rPr>
          <w:color w:val="000000"/>
        </w:rPr>
        <w:t> </w:t>
      </w:r>
      <w:r>
        <w:rPr>
          <w:rFonts w:ascii="Times New Roman;serif" w:hAnsi="Times New Roman;serif"/>
          <w:b w:val="false"/>
          <w:color w:val="000000"/>
          <w:sz w:val="20"/>
        </w:rPr>
        <w:t>shall not apply if the PSUs are replaced by an equivalent award providing for accelerated vesting in connection with the Participant’s Termination following the Change in Control, as determined by the Committee in its sole discretion.</w:t>
      </w:r>
    </w:p>
    <w:p>
      <w:pPr>
        <w:pStyle w:val="TextBody"/>
        <w:bidi w:val="0"/>
        <w:spacing w:before="0" w:after="0"/>
        <w:ind w:left="0" w:right="0" w:firstLine="72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20"/>
        </w:rPr>
        <w:t>iv.</w:t>
      </w:r>
      <w:r>
        <w:rPr>
          <w:rFonts w:ascii="Times New Roman;serif" w:hAnsi="Times New Roman;serif"/>
          <w:b w:val="false"/>
          <w:color w:val="000000"/>
          <w:sz w:val="20"/>
          <w:u w:val="single"/>
        </w:rPr>
        <w:t>Termination due to death or Disability</w:t>
      </w:r>
      <w:r>
        <w:rPr>
          <w:rFonts w:ascii="Times New Roman;serif" w:hAnsi="Times New Roman;serif"/>
          <w:b w:val="false"/>
          <w:color w:val="000000"/>
          <w:sz w:val="20"/>
        </w:rPr>
        <w:t>.  In the event of a Participant’s Termination due to death or Disability during the Performance Period, then the Time-Based Condition shall be satisfied as of the date of death or Disability for all PSUs and the PSUs shall remain outstanding and shall have the opportunity to satisfy the Performance Condition and become Earned PSUs.  In the event of a Participant’s Termination due to death or Disability after the Performance Period, the Time-Based Condition shall be satisfied as of the date of death or Disability for all Earned PSUs.</w:t>
      </w:r>
    </w:p>
    <w:p>
      <w:pPr>
        <w:pStyle w:val="TextBody"/>
        <w:bidi w:val="0"/>
        <w:spacing w:before="0" w:after="0"/>
        <w:jc w:val="left"/>
        <w:rPr/>
      </w:pPr>
      <w:r>
        <w:rPr/>
      </w:r>
    </w:p>
    <w:p>
      <w:pPr>
        <w:pStyle w:val="TextBody"/>
        <w:bidi w:val="0"/>
        <w:spacing w:lineRule="auto" w:line="288" w:before="0" w:after="0"/>
        <w:ind w:left="0" w:right="0" w:hanging="180"/>
        <w:jc w:val="left"/>
        <w:rPr/>
      </w:pPr>
      <w:r>
        <w:rPr>
          <w:rFonts w:ascii="Times New Roman;serif" w:hAnsi="Times New Roman;serif"/>
          <w:b w:val="false"/>
          <w:color w:val="000000"/>
          <w:sz w:val="20"/>
        </w:rPr>
        <w:t>v.</w:t>
      </w:r>
      <w:r>
        <w:rPr>
          <w:rFonts w:ascii="Times New Roman;serif" w:hAnsi="Times New Roman;serif"/>
          <w:b w:val="false"/>
          <w:color w:val="000000"/>
          <w:sz w:val="20"/>
          <w:u w:val="single"/>
        </w:rPr>
        <w:t>Termination due to Retirement</w:t>
      </w:r>
      <w:r>
        <w:rPr>
          <w:rFonts w:ascii="Times New Roman;serif" w:hAnsi="Times New Roman;serif"/>
          <w:b w:val="false"/>
          <w:color w:val="000000"/>
          <w:sz w:val="20"/>
        </w:rPr>
        <w:t>. In the event of a Participant’s Retirement at any time prior to the Vesting Date, a pro rata portion of the Earned PSUs shall be deemed to have satisfied the Time-Based Condition as of the later of March 1, 2027 or the Participant’s Retirement date. The pro rata portion shall be calculated as the number of Earned PSUs multiplied by a fraction, the numerator of which is the number of full calendar months elapsed from March 1, 2026 through the Participant’s Retirement date, and the denominator of which is 36. For purposes of this Agreement, “</w:t>
      </w:r>
      <w:r>
        <w:rPr>
          <w:rFonts w:ascii="Times New Roman;serif" w:hAnsi="Times New Roman;serif"/>
          <w:b w:val="false"/>
          <w:color w:val="000000"/>
          <w:sz w:val="20"/>
          <w:u w:val="single"/>
        </w:rPr>
        <w:t>Retirement</w:t>
      </w:r>
      <w:r>
        <w:rPr>
          <w:color w:val="000000"/>
        </w:rPr>
        <w:t xml:space="preserve">” </w:t>
      </w:r>
      <w:r>
        <w:rPr>
          <w:rFonts w:ascii="Times New Roman;serif" w:hAnsi="Times New Roman;serif"/>
          <w:b w:val="false"/>
          <w:color w:val="000000"/>
          <w:sz w:val="20"/>
        </w:rPr>
        <w:t>means the Participant’s Termination and having met the definition of Retirement-eligible pursuant to Section 8.</w:t>
      </w:r>
    </w:p>
    <w:p>
      <w:pPr>
        <w:pStyle w:val="TextBody"/>
        <w:bidi w:val="0"/>
        <w:spacing w:before="0" w:after="0"/>
        <w:ind w:left="0" w:right="0" w:firstLine="72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20"/>
        </w:rPr>
        <w:t>vi.</w:t>
      </w:r>
      <w:r>
        <w:rPr>
          <w:rFonts w:ascii="Times New Roman;serif" w:hAnsi="Times New Roman;serif"/>
          <w:b w:val="false"/>
          <w:color w:val="000000"/>
          <w:sz w:val="20"/>
          <w:u w:val="single"/>
        </w:rPr>
        <w:t>Retention as a Non-Employee Director</w:t>
      </w:r>
      <w:r>
        <w:rPr>
          <w:rFonts w:ascii="Times New Roman;serif" w:hAnsi="Times New Roman;serif"/>
          <w:b w:val="false"/>
          <w:color w:val="000000"/>
          <w:sz w:val="20"/>
        </w:rPr>
        <w:t>. If the Participant continues to serve as or is appointed as a member of the Company’s Board of Directors immediately following Termination, PSUs shall continue to vest and become payable as if the Participant remained employed by the Company for as long as such Participant continues to serve as a member of the Company’s Board of Directors. Any decision to retain or appoint a Participant as a member of the Company’s Board of Directors shall be determined by the Board of Directors (and recommended by the Corporate Governance &amp; Nominating Committee).</w:t>
      </w:r>
    </w:p>
    <w:p>
      <w:pPr>
        <w:pStyle w:val="TextBody"/>
        <w:bidi w:val="0"/>
        <w:spacing w:before="0" w:after="0"/>
        <w:jc w:val="left"/>
        <w:rPr/>
      </w:pPr>
      <w:r>
        <w:rPr/>
      </w:r>
    </w:p>
    <w:p>
      <w:pPr>
        <w:pStyle w:val="TextBody"/>
        <w:bidi w:val="0"/>
        <w:spacing w:lineRule="auto" w:line="288"/>
        <w:ind w:left="0" w:right="0" w:hanging="360"/>
        <w:jc w:val="left"/>
        <w:rPr/>
      </w:pPr>
      <w:r>
        <w:rPr>
          <w:rFonts w:ascii="Times New Roman;serif" w:hAnsi="Times New Roman;serif"/>
          <w:b w:val="false"/>
          <w:color w:val="000000"/>
          <w:sz w:val="20"/>
        </w:rPr>
        <w:t>c.</w:t>
      </w:r>
      <w:r>
        <w:rPr>
          <w:rFonts w:ascii="Times New Roman;serif" w:hAnsi="Times New Roman;serif"/>
          <w:b w:val="false"/>
          <w:color w:val="000000"/>
          <w:sz w:val="20"/>
          <w:u w:val="single"/>
        </w:rPr>
        <w:t>Vested PSUs</w:t>
      </w:r>
      <w:r>
        <w:rPr>
          <w:rFonts w:ascii="Times New Roman;serif" w:hAnsi="Times New Roman;serif"/>
          <w:b w:val="false"/>
          <w:color w:val="000000"/>
          <w:sz w:val="20"/>
        </w:rPr>
        <w:t>.  PSUs that have satisfied both the Time-Based Condition and the Performance Condition are referred to as “</w:t>
      </w:r>
      <w:r>
        <w:rPr>
          <w:rFonts w:ascii="Times New Roman;serif" w:hAnsi="Times New Roman;serif"/>
          <w:b w:val="false"/>
          <w:color w:val="000000"/>
          <w:sz w:val="20"/>
          <w:u w:val="single"/>
        </w:rPr>
        <w:t>Vested PSUs</w:t>
      </w:r>
      <w:r>
        <w:rPr>
          <w:color w:val="000000"/>
        </w:rPr>
        <w:t>”</w:t>
      </w:r>
      <w:r>
        <w:rPr>
          <w:rFonts w:ascii="Times New Roman;serif" w:hAnsi="Times New Roman;serif"/>
          <w:b w:val="false"/>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01980"/>
                <wp:effectExtent l="0" t="0" r="0" b="0"/>
                <wp:wrapNone/>
                <wp:docPr id="44" name="Frame44"/>
                <a:graphic xmlns:a="http://schemas.openxmlformats.org/drawingml/2006/main">
                  <a:graphicData uri="http://schemas.microsoft.com/office/word/2010/wordprocessingShape">
                    <wps:wsp>
                      <wps:cNvSpPr txBox="1"/>
                      <wps:spPr>
                        <a:xfrm>
                          <a:off x="0" y="0"/>
                          <a:ext cx="6480175" cy="601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p>
                            <w:pPr>
                              <w:pStyle w:val="TextBody"/>
                              <w:bidi w:val="0"/>
                              <w:spacing w:before="12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120" w:after="283"/>
                        <w:jc w:val="righ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rFonts w:ascii="Times New Roman;serif" w:hAnsi="Times New Roman;serif"/>
          <w:b/>
          <w:color w:val="000000"/>
          <w:sz w:val="20"/>
          <w:u w:val="single"/>
        </w:rPr>
        <w:t>Payment</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General</w:t>
      </w:r>
      <w:r>
        <w:rPr>
          <w:rFonts w:ascii="Times New Roman;serif" w:hAnsi="Times New Roman;serif"/>
          <w:b w:val="false"/>
          <w:color w:val="000000"/>
          <w:sz w:val="20"/>
        </w:rPr>
        <w:t>.  Vested PSUs will be paid to the Participant in whole shares of Common Stock.</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Time of Payment</w:t>
      </w:r>
      <w:r>
        <w:rPr>
          <w:rFonts w:ascii="Times New Roman;serif" w:hAnsi="Times New Roman;serif"/>
          <w:b w:val="false"/>
          <w:color w:val="000000"/>
          <w:sz w:val="20"/>
        </w:rPr>
        <w:t xml:space="preserve">. The designated payment date for purposes of Section 409A of the Internal Revenue Code and the regulations thereunder shall be March 1, 2029 for Earned PSUs vesting pursuant to </w:t>
      </w:r>
      <w:r>
        <w:rPr>
          <w:rFonts w:ascii="Times New Roman;serif" w:hAnsi="Times New Roman;serif"/>
          <w:b w:val="false"/>
          <w:color w:val="000000"/>
          <w:sz w:val="20"/>
          <w:u w:val="single"/>
        </w:rPr>
        <w:t>Section 3(b)(i),</w:t>
      </w:r>
      <w:r>
        <w:rPr>
          <w:color w:val="000000"/>
        </w:rPr>
        <w:t xml:space="preserve"> </w:t>
      </w:r>
      <w:r>
        <w:rPr>
          <w:rFonts w:ascii="Times New Roman;serif" w:hAnsi="Times New Roman;serif"/>
          <w:b w:val="false"/>
          <w:color w:val="000000"/>
          <w:sz w:val="20"/>
          <w:u w:val="single"/>
        </w:rPr>
        <w:t>Section 3(b)(iv), Section 3(b)(v), and Section 3(b)(vi)</w:t>
      </w:r>
      <w:r>
        <w:rPr>
          <w:rFonts w:ascii="Times New Roman;serif" w:hAnsi="Times New Roman;serif"/>
          <w:b w:val="false"/>
          <w:color w:val="000000"/>
          <w:sz w:val="20"/>
        </w:rPr>
        <w:t xml:space="preserve">; the date of Change in Control for Earned PSUs vesting pursuant to </w:t>
      </w:r>
      <w:r>
        <w:rPr>
          <w:rFonts w:ascii="Times New Roman;serif" w:hAnsi="Times New Roman;serif"/>
          <w:b w:val="false"/>
          <w:color w:val="000000"/>
          <w:sz w:val="20"/>
          <w:u w:val="single"/>
        </w:rPr>
        <w:t>Section 3(b)(iii)</w:t>
      </w:r>
      <w:r>
        <w:rPr>
          <w:rFonts w:ascii="Times New Roman;serif" w:hAnsi="Times New Roman;serif"/>
          <w:b w:val="false"/>
          <w:color w:val="000000"/>
          <w:sz w:val="20"/>
        </w:rPr>
        <w:t>. Delivery of shares pursuant to this Agreement shall be made as soon as practicable following the designated payment date, and in any case by the later of December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of the calendar year in which such designated payment date occurs or the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the third calendar month following the designated payment date.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5.</w:t>
      </w:r>
      <w:r>
        <w:rPr>
          <w:rFonts w:ascii="Times New Roman;serif" w:hAnsi="Times New Roman;serif"/>
          <w:b/>
          <w:color w:val="000000"/>
          <w:sz w:val="20"/>
          <w:u w:val="single"/>
        </w:rPr>
        <w:t>Dividends; Rights as Stockholder</w:t>
      </w:r>
      <w:r>
        <w:rPr>
          <w:rFonts w:ascii="Times New Roman;serif" w:hAnsi="Times New Roman;serif"/>
          <w:b w:val="false"/>
          <w:color w:val="000000"/>
          <w:sz w:val="20"/>
        </w:rPr>
        <w:t xml:space="preserve">.  Cash dividends on shares of Common Stock underlying the PSUs shall be credited to a dividend book entry account on behalf of the Participant, provided that any cash dividends shall be held uninvested and without interest, shall be subject to the same vesting conditions as the PSUs to which they relate, and shall be paid in cash at the same time that the shares of Common Stock underlying the Vested PSUs (if any) are delivered to the Participant in accordance with </w:t>
      </w:r>
      <w:r>
        <w:rPr>
          <w:rFonts w:ascii="Times New Roman;serif" w:hAnsi="Times New Roman;serif"/>
          <w:b w:val="false"/>
          <w:color w:val="000000"/>
          <w:sz w:val="20"/>
          <w:u w:val="single"/>
        </w:rPr>
        <w:t>Section 4</w:t>
      </w:r>
      <w:r>
        <w:rPr>
          <w:rFonts w:ascii="Times New Roman;serif" w:hAnsi="Times New Roman;serif"/>
          <w:b w:val="false"/>
          <w:color w:val="000000"/>
          <w:sz w:val="20"/>
        </w:rPr>
        <w:t xml:space="preserve">.  Stock dividends on shares of Common Stock underlying the PSUs shall be credited to a dividend book entry account on behalf of the Participant, provided that any stock dividends shall be subject to the same vesting conditions as the PSUs to which they relate, and shall be paid in shares of Common Stock at the same time that the shares of Common Stock underlying the Vested PSUs (if any) are delivered to the Participant in accordance with </w:t>
      </w:r>
      <w:r>
        <w:rPr>
          <w:rFonts w:ascii="Times New Roman;serif" w:hAnsi="Times New Roman;serif"/>
          <w:b w:val="false"/>
          <w:color w:val="000000"/>
          <w:sz w:val="20"/>
          <w:u w:val="single"/>
        </w:rPr>
        <w:t>Section 4</w:t>
      </w:r>
      <w:r>
        <w:rPr>
          <w:rFonts w:ascii="Times New Roman;serif" w:hAnsi="Times New Roman;serif"/>
          <w:b w:val="false"/>
          <w:color w:val="000000"/>
          <w:sz w:val="20"/>
        </w:rPr>
        <w:t>.  The Participant shall have no rights as a stockholder with respect to any shares of Common Stock underlying any PSU unless and until the Participant has become the holder of record of such shares.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6.</w:t>
      </w:r>
      <w:r>
        <w:rPr>
          <w:rFonts w:ascii="Times New Roman;serif" w:hAnsi="Times New Roman;serif"/>
          <w:b/>
          <w:color w:val="000000"/>
          <w:sz w:val="20"/>
          <w:u w:val="single"/>
        </w:rPr>
        <w:t>Non-Transferability</w:t>
      </w:r>
      <w:r>
        <w:rPr>
          <w:rFonts w:ascii="Times New Roman;serif" w:hAnsi="Times New Roman;serif"/>
          <w:b w:val="false"/>
          <w:color w:val="000000"/>
          <w:sz w:val="20"/>
        </w:rPr>
        <w:t xml:space="preserve">.  No portion of the PSUs (or the shares of Common Stock underlying the PSUs) may be sold, assigned, transferred, encumbered, hypothecated or pledged by the Participant, other than to the Company as a result of forfeiture of the PSUs as provided in </w:t>
      </w:r>
      <w:r>
        <w:rPr>
          <w:rFonts w:ascii="Times New Roman;serif" w:hAnsi="Times New Roman;serif"/>
          <w:b w:val="false"/>
          <w:color w:val="000000"/>
          <w:sz w:val="20"/>
          <w:u w:val="single"/>
        </w:rPr>
        <w:t>Section 3</w:t>
      </w:r>
      <w:r>
        <w:rPr>
          <w:rFonts w:ascii="Times New Roman;serif" w:hAnsi="Times New Roman;serif"/>
          <w:b w:val="false"/>
          <w:color w:val="000000"/>
          <w:sz w:val="20"/>
        </w:rPr>
        <w:t xml:space="preserve">, unless and until the shares are delivered to the Participant in accordance with </w:t>
      </w:r>
      <w:r>
        <w:rPr>
          <w:rFonts w:ascii="Times New Roman;serif" w:hAnsi="Times New Roman;serif"/>
          <w:b w:val="false"/>
          <w:color w:val="000000"/>
          <w:sz w:val="20"/>
          <w:u w:val="single"/>
        </w:rPr>
        <w:t>Section 4</w:t>
      </w:r>
      <w:r>
        <w:rPr>
          <w:color w:val="000000"/>
        </w:rPr>
        <w:t xml:space="preserve"> </w:t>
      </w:r>
      <w:r>
        <w:rPr>
          <w:rFonts w:ascii="Times New Roman;serif" w:hAnsi="Times New Roman;serif"/>
          <w:b w:val="false"/>
          <w:color w:val="000000"/>
          <w:sz w:val="20"/>
        </w:rPr>
        <w:t>and the Participant has become the holder of record of the shares.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7.</w:t>
      </w:r>
      <w:r>
        <w:rPr>
          <w:rFonts w:ascii="Times New Roman;serif" w:hAnsi="Times New Roman;serif"/>
          <w:b/>
          <w:color w:val="000000"/>
          <w:sz w:val="20"/>
          <w:u w:val="single"/>
        </w:rPr>
        <w:t>Governing Law</w:t>
      </w:r>
      <w:r>
        <w:rPr>
          <w:rFonts w:ascii="Times New Roman;serif" w:hAnsi="Times New Roman;serif"/>
          <w:b w:val="false"/>
          <w:color w:val="000000"/>
          <w:sz w:val="20"/>
        </w:rPr>
        <w:t>.  All questions concerning the construction, validity and interpretation of this Agreement shall be governed by, and construed in accordance with, the laws of the State of Delaware, without regard to choice of law provisions.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8.</w:t>
      </w:r>
      <w:r>
        <w:rPr>
          <w:rFonts w:ascii="Times New Roman;serif" w:hAnsi="Times New Roman;serif"/>
          <w:b/>
          <w:color w:val="000000"/>
          <w:sz w:val="20"/>
          <w:u w:val="single"/>
        </w:rPr>
        <w:t>Tax Withholding</w:t>
      </w:r>
      <w:r>
        <w:rPr>
          <w:rFonts w:ascii="Times New Roman;serif" w:hAnsi="Times New Roman;serif"/>
          <w:b w:val="false"/>
          <w:color w:val="000000"/>
          <w:sz w:val="20"/>
        </w:rPr>
        <w:t xml:space="preserve">.  The Company may deduct or withhold, or require the Participant to remit to the Company, an amount sufficient to satisfy any federal, state, local and foreign taxes of any kind (including, but not limited to, the Participant’s FICA and SDI obligations) which the Company, in its sole discretion, deems necessary to be withheld or remitted to comply with the Code and/or any other applicable law, rule or regulation with respect to the PSUs. If the Participant fails to remit any amounts requested by the Company, the Company may otherwise refuse to issue or transfer any shares of Common Stock otherwise required to be issued pursuant to this Agreement.  The Participant acknowledges that if he or she is or becomes Retirement-eligible or Retires prior to the Vesting Date, FICA and SDI obligations may apply prior to any payment pursuant to </w:t>
      </w:r>
      <w:r>
        <w:rPr>
          <w:rFonts w:ascii="Times New Roman;serif" w:hAnsi="Times New Roman;serif"/>
          <w:b w:val="false"/>
          <w:color w:val="000000"/>
          <w:sz w:val="20"/>
          <w:u w:val="single"/>
        </w:rPr>
        <w:t>Section 4</w:t>
      </w:r>
      <w:r>
        <w:rPr>
          <w:rFonts w:ascii="Times New Roman;serif" w:hAnsi="Times New Roman;serif"/>
          <w:b w:val="false"/>
          <w:color w:val="000000"/>
          <w:sz w:val="20"/>
        </w:rPr>
        <w:t>. For purposes of this Agreement, “</w:t>
      </w:r>
      <w:r>
        <w:rPr>
          <w:rFonts w:ascii="Times New Roman;serif" w:hAnsi="Times New Roman;serif"/>
          <w:b w:val="false"/>
          <w:color w:val="000000"/>
          <w:sz w:val="20"/>
          <w:u w:val="single"/>
        </w:rPr>
        <w:t>Retirement-eligible</w:t>
      </w:r>
      <w:r>
        <w:rPr>
          <w:color w:val="000000"/>
        </w:rPr>
        <w:t xml:space="preserve">” </w:t>
      </w:r>
      <w:r>
        <w:rPr>
          <w:rFonts w:ascii="Times New Roman;serif" w:hAnsi="Times New Roman;serif"/>
          <w:b w:val="false"/>
          <w:color w:val="000000"/>
          <w:sz w:val="20"/>
        </w:rPr>
        <w:t>means the Participant’s Termination on the earlier of: the calendar year in which the Participant attains age 62 and has completed at least 10 years of employment with the Company and its predecessors, or the calendar year in which the Participant attains age 65 and has completed at least 5 years of employment with the Company and its predecessors. Any applicable statutory required withholding obligation with regard to the Participant shall be satisfied by reducing the amount of cash or shares of Common Stock otherwise deliverable to the Participant.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9.</w:t>
      </w:r>
      <w:r>
        <w:rPr>
          <w:rFonts w:ascii="Times New Roman;serif" w:hAnsi="Times New Roman;serif"/>
          <w:b/>
          <w:color w:val="000000"/>
          <w:sz w:val="20"/>
          <w:u w:val="single"/>
        </w:rPr>
        <w:t>Securities Representations</w:t>
      </w:r>
      <w:r>
        <w:rPr>
          <w:rFonts w:ascii="Times New Roman;serif" w:hAnsi="Times New Roman;serif"/>
          <w:b w:val="false"/>
          <w:color w:val="000000"/>
          <w:sz w:val="20"/>
        </w:rPr>
        <w:t>.  This Agreement is being entered into by the Company in reliance upon the following express representations and warranties of the Participant.  The Participant acknowledges, represents and warrants that: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a.The Participant has been advised that the Participant may be an “affiliate” within the meaning of Rule 144 under the Securities Act and in this connection the Company is relying in part on the Participant’s representations set forth in this </w:t>
      </w:r>
      <w:r>
        <w:rPr>
          <w:rFonts w:ascii="Times New Roman;serif" w:hAnsi="Times New Roman;serif"/>
          <w:b w:val="false"/>
          <w:color w:val="000000"/>
          <w:sz w:val="20"/>
          <w:u w:val="single"/>
        </w:rPr>
        <w:t>Section 9</w:t>
      </w:r>
      <w:r>
        <w:rPr>
          <w:rFonts w:ascii="Times New Roman;serif" w:hAnsi="Times New Roman;serif"/>
          <w:b w:val="false"/>
          <w:color w:val="000000"/>
          <w:sz w:val="20"/>
        </w:rPr>
        <w:t>.</w:t>
      </w:r>
    </w:p>
    <w:p>
      <w:pPr>
        <w:pStyle w:val="TextBody"/>
        <w:bidi w:val="0"/>
        <w:ind w:left="0" w:right="0" w:firstLine="14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01980"/>
                <wp:effectExtent l="0" t="0" r="0" b="0"/>
                <wp:wrapNone/>
                <wp:docPr id="45" name="Frame45"/>
                <a:graphic xmlns:a="http://schemas.openxmlformats.org/drawingml/2006/main">
                  <a:graphicData uri="http://schemas.microsoft.com/office/word/2010/wordprocessingShape">
                    <wps:wsp>
                      <wps:cNvSpPr txBox="1"/>
                      <wps:spPr>
                        <a:xfrm>
                          <a:off x="0" y="0"/>
                          <a:ext cx="6480175" cy="601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p>
                            <w:pPr>
                              <w:pStyle w:val="TextBody"/>
                              <w:bidi w:val="0"/>
                              <w:spacing w:before="12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120" w:after="283"/>
                        <w:jc w:val="righ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b.If the Participant is deemed an affiliate within the meaning of Rule 144 of the Securities Act, the shares of Common Stock issuable hereunder must be held indefinitely unless an exemption from any applicable resale restrictions is available or the Company files an additional registration statement (or a “re-offer prospectus”) with regard to such shares of Common Stock and the Company is under no obligation to register such shares of Common Stock (or to file a “re-offer prospectus”).</w:t>
      </w:r>
    </w:p>
    <w:p>
      <w:pPr>
        <w:pStyle w:val="TextBody"/>
        <w:bidi w:val="0"/>
        <w:spacing w:before="0" w:after="0"/>
        <w:ind w:left="0" w:right="0" w:firstLine="14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c.If the Participant is deemed an affiliate within the meaning of Rule 144 of the Securities Act, the Participant understands that (i) the exemption from registration under Rule 144 will not be available unless (A) a public trading market then exists for the Common Stock of the Company, (B) adequate information concerning the Company is then available to the public, and (C) other terms and conditions of Rule 144 or any exemption therefrom are complied with, and (ii) any sale of the shares of Common Stock issuable hereunder may be made only in limited amounts in accordance with the terms and conditions of Rule 144 or any exemption therefrom.</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10.</w:t>
      </w:r>
      <w:r>
        <w:rPr>
          <w:rFonts w:ascii="Times New Roman;serif" w:hAnsi="Times New Roman;serif"/>
          <w:b/>
          <w:color w:val="000000"/>
          <w:sz w:val="20"/>
          <w:u w:val="single"/>
        </w:rPr>
        <w:t>Entire Agreement; Amendment</w:t>
      </w:r>
      <w:r>
        <w:rPr>
          <w:rFonts w:ascii="Times New Roman;serif" w:hAnsi="Times New Roman;serif"/>
          <w:b w:val="false"/>
          <w:color w:val="000000"/>
          <w:sz w:val="20"/>
        </w:rPr>
        <w:t>.  This Agreement, together with the Plan, contains the entire agreement between the parties with respect to the grant of PSUs, and supersedes all prior agreements or prior understandings, whether written or oral, between the parties relating to such subject matter.  The Committee may, in its sole discretion, modify or amend this Agreement from time to time in accordance with and as provided in the Plan.  This Agreement may also be modified or amended by a writing signed by both the Company and the Participant.  The Company shall give written notice to the Participant of any such modification or amendment of this Agreement as soon as practical after the adoption of the modification or amendment.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11.</w:t>
      </w:r>
      <w:r>
        <w:rPr>
          <w:rFonts w:ascii="Times New Roman;serif" w:hAnsi="Times New Roman;serif"/>
          <w:b/>
          <w:color w:val="000000"/>
          <w:sz w:val="20"/>
          <w:u w:val="single"/>
        </w:rPr>
        <w:t>Notices</w:t>
      </w:r>
      <w:r>
        <w:rPr>
          <w:rFonts w:ascii="Times New Roman;serif" w:hAnsi="Times New Roman;serif"/>
          <w:b w:val="false"/>
          <w:color w:val="000000"/>
          <w:sz w:val="20"/>
        </w:rPr>
        <w:t>.  Any notice by the Participant shall be given to the General Counsel of the Company in writing and such notice shall be deemed duly given upon receipt by the General Counsel.  Any notice by the Company shall be given to the Participant in writing and such notice shall be deemed duly given upon receipt at the address the Participant has on file with the Company.</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12.</w:t>
      </w:r>
      <w:r>
        <w:rPr>
          <w:rFonts w:ascii="Times New Roman;serif" w:hAnsi="Times New Roman;serif"/>
          <w:b/>
          <w:color w:val="000000"/>
          <w:sz w:val="20"/>
          <w:u w:val="single"/>
        </w:rPr>
        <w:t>No Right to Employment</w:t>
      </w:r>
      <w:r>
        <w:rPr>
          <w:rFonts w:ascii="Times New Roman;serif" w:hAnsi="Times New Roman;serif"/>
          <w:b w:val="false"/>
          <w:color w:val="000000"/>
          <w:sz w:val="20"/>
        </w:rPr>
        <w:t>.  Nothing in this Agreement shall interfere with or limit in any way the right of the Company, its Subsidiaries or its Affiliates to terminate the Participant’s employment or service at any time, for any reason and with or without Cause. Any questions as to whether and when there has been a Termination and the cause of such Termination shall be determined in the sole discretion of the Committee.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13.</w:t>
      </w:r>
      <w:r>
        <w:rPr>
          <w:rFonts w:ascii="Times New Roman;serif" w:hAnsi="Times New Roman;serif"/>
          <w:b/>
          <w:color w:val="000000"/>
          <w:sz w:val="20"/>
          <w:u w:val="single"/>
        </w:rPr>
        <w:t>Transfer of Personal Data</w:t>
      </w:r>
      <w:r>
        <w:rPr>
          <w:rFonts w:ascii="Times New Roman;serif" w:hAnsi="Times New Roman;serif"/>
          <w:b w:val="false"/>
          <w:color w:val="000000"/>
          <w:sz w:val="20"/>
        </w:rPr>
        <w:t>.  The Participant authorizes, agrees and unambiguously consents to the transmission by the Company (or any Subsidiary) of any personal data information related to the PSUs awarded under this Agreement for legitimate business purposes (including, without limitation, the administration of the Plan).  This authorization and consent is freely given by the Participant.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14.</w:t>
      </w:r>
      <w:r>
        <w:rPr>
          <w:rFonts w:ascii="Times New Roman;serif" w:hAnsi="Times New Roman;serif"/>
          <w:b/>
          <w:color w:val="000000"/>
          <w:sz w:val="20"/>
          <w:u w:val="single"/>
        </w:rPr>
        <w:t>Compliance with Laws</w:t>
      </w:r>
      <w:r>
        <w:rPr>
          <w:rFonts w:ascii="Times New Roman;serif" w:hAnsi="Times New Roman;serif"/>
          <w:b w:val="false"/>
          <w:color w:val="000000"/>
          <w:sz w:val="20"/>
        </w:rPr>
        <w:t>.  The grant of PSUs and the issuance of shares of Common Stock hereunder shall be subject to, and shall comply with, the requirements of any applicable foreign and U.S. federal and state laws, rules and regulations (including, without limitation, the provisions of the Securities Act, the Exchange Act and in each case the rules and regulations promulgated thereunder) and any applicable securities exchange requirement.  The Company shall not be obligated to issue the PSUs or any shares of Common Stock pursuant to this Agreement if issuance would violate any applicable requirements.  As a condition to the settlement of the PSUs, the Company may require the Participant to satisfy any qualifications that the Company may deem necessary or appropriate to evidence compliance with any applicable law or regulation.</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15.</w:t>
      </w:r>
      <w:r>
        <w:rPr>
          <w:rFonts w:ascii="Times New Roman;serif" w:hAnsi="Times New Roman;serif"/>
          <w:b/>
          <w:color w:val="000000"/>
          <w:sz w:val="20"/>
          <w:u w:val="single"/>
        </w:rPr>
        <w:t>Binding Agreement; Assignment</w:t>
      </w:r>
      <w:r>
        <w:rPr>
          <w:rFonts w:ascii="Times New Roman;serif" w:hAnsi="Times New Roman;serif"/>
          <w:b w:val="false"/>
          <w:color w:val="000000"/>
          <w:sz w:val="20"/>
        </w:rPr>
        <w:t xml:space="preserve">.  This Agreement shall inure to the benefit of, be binding upon, and be enforceable by the Company and its successors and assigns.  The Participant shall not assign (except in accordance with </w:t>
      </w:r>
      <w:r>
        <w:rPr>
          <w:rFonts w:ascii="Times New Roman;serif" w:hAnsi="Times New Roman;serif"/>
          <w:b w:val="false"/>
          <w:color w:val="000000"/>
          <w:sz w:val="20"/>
          <w:u w:val="single"/>
        </w:rPr>
        <w:t>Section 6</w:t>
      </w:r>
      <w:r>
        <w:rPr>
          <w:rFonts w:ascii="Times New Roman;serif" w:hAnsi="Times New Roman;serif"/>
          <w:b w:val="false"/>
          <w:color w:val="000000"/>
          <w:sz w:val="20"/>
        </w:rPr>
        <w:t>) any part of this Agreement without the prior express written consent of the Company.</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16.</w:t>
      </w:r>
      <w:r>
        <w:rPr>
          <w:rFonts w:ascii="Times New Roman;serif" w:hAnsi="Times New Roman;serif"/>
          <w:b/>
          <w:color w:val="000000"/>
          <w:sz w:val="20"/>
          <w:u w:val="single"/>
        </w:rPr>
        <w:t>Counterparts</w:t>
      </w:r>
      <w:r>
        <w:rPr>
          <w:rFonts w:ascii="Times New Roman;serif" w:hAnsi="Times New Roman;serif"/>
          <w:b w:val="false"/>
          <w:color w:val="000000"/>
          <w:sz w:val="20"/>
        </w:rPr>
        <w:t>.  This Agreement may be executed in one or more counterparts, each of which shall be deemed to be an original, but all of which shall constitute one and the same instrument.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17.</w:t>
      </w:r>
      <w:r>
        <w:rPr>
          <w:rFonts w:ascii="Times New Roman;serif" w:hAnsi="Times New Roman;serif"/>
          <w:b/>
          <w:color w:val="000000"/>
          <w:sz w:val="20"/>
          <w:u w:val="single"/>
        </w:rPr>
        <w:t>Further Assurances</w:t>
      </w:r>
      <w:r>
        <w:rPr>
          <w:rFonts w:ascii="Times New Roman;serif" w:hAnsi="Times New Roman;serif"/>
          <w:b w:val="false"/>
          <w:color w:val="000000"/>
          <w:sz w:val="20"/>
        </w:rPr>
        <w:t>.  Each party shall do and perform (or shall cause to be done and performed) all further acts and shall execute and deliver all other agreements, certificates, instruments and documents as either party may reasonably request in order to carry out the intent and accomplish the purposes of this Agreement and the Plan and the consummation of the transactions contemplated hereunder.</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01980"/>
                <wp:effectExtent l="0" t="0" r="0" b="0"/>
                <wp:wrapNone/>
                <wp:docPr id="46" name="Frame46"/>
                <a:graphic xmlns:a="http://schemas.openxmlformats.org/drawingml/2006/main">
                  <a:graphicData uri="http://schemas.microsoft.com/office/word/2010/wordprocessingShape">
                    <wps:wsp>
                      <wps:cNvSpPr txBox="1"/>
                      <wps:spPr>
                        <a:xfrm>
                          <a:off x="0" y="0"/>
                          <a:ext cx="6480175" cy="601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p>
                            <w:pPr>
                              <w:pStyle w:val="TextBody"/>
                              <w:bidi w:val="0"/>
                              <w:spacing w:before="12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120" w:after="283"/>
                        <w:jc w:val="right"/>
                        <w:rPr/>
                      </w:pPr>
                      <w:r>
                        <w:rPr/>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val="false"/>
          <w:color w:val="000000"/>
          <w:sz w:val="20"/>
        </w:rPr>
        <w:t>18.</w:t>
      </w:r>
      <w:r>
        <w:rPr>
          <w:rFonts w:ascii="Times New Roman;serif" w:hAnsi="Times New Roman;serif"/>
          <w:b/>
          <w:color w:val="000000"/>
          <w:sz w:val="20"/>
          <w:u w:val="single"/>
        </w:rPr>
        <w:t>Severability</w:t>
      </w:r>
      <w:r>
        <w:rPr>
          <w:rFonts w:ascii="Times New Roman;serif" w:hAnsi="Times New Roman;serif"/>
          <w:b w:val="false"/>
          <w:color w:val="000000"/>
          <w:sz w:val="20"/>
        </w:rPr>
        <w:t>.  The invalidity or unenforceability of any provisions of this Agreement in any jurisdiction shall not affect the validity, legality or enforceability of the remainder of this Agreement in that jurisdiction or the validity, legality or enforceability of any provision of this Agreement in any other jurisdiction, it being intended that all rights and obligations of the parties shall be enforceable to the fullest extent permitted by law.</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19.</w:t>
      </w:r>
      <w:r>
        <w:rPr>
          <w:rFonts w:ascii="Times New Roman;serif" w:hAnsi="Times New Roman;serif"/>
          <w:b/>
          <w:color w:val="000000"/>
          <w:sz w:val="20"/>
          <w:u w:val="single"/>
        </w:rPr>
        <w:t>Acquired Rights</w:t>
      </w:r>
      <w:r>
        <w:rPr>
          <w:rFonts w:ascii="Times New Roman;serif" w:hAnsi="Times New Roman;serif"/>
          <w:b w:val="false"/>
          <w:color w:val="000000"/>
          <w:sz w:val="20"/>
        </w:rPr>
        <w:t>.  The Participant acknowledges and agrees that: (a) the Company may terminate or amend the Plan at any time; (b) the Award of PSUs made under this Agreement is completely independent of any other award or grant and is made at the sole discretion of the Company; (c) no past grants or awards (including, without limitation, the PSUs awarded under this Agreement) give the Participant any right to any grants or awards in the future; and (d) any benefits granted under this Agreement are not part of the Participant’s ordinary salary, and shall not be considered as part of such salary in the event of severance, resignation or any other Termination.</w:t>
      </w:r>
    </w:p>
    <w:p>
      <w:pPr>
        <w:pStyle w:val="TextBody"/>
        <w:bidi w:val="0"/>
        <w:spacing w:before="0" w:after="0"/>
        <w:ind w:left="0" w:right="0" w:firstLine="720"/>
        <w:jc w:val="left"/>
        <w:rPr/>
      </w:pPr>
      <w:r>
        <w:rPr/>
      </w:r>
    </w:p>
    <w:p>
      <w:pPr>
        <w:pStyle w:val="TextBody"/>
        <w:bidi w:val="0"/>
        <w:spacing w:lineRule="auto" w:line="288"/>
        <w:ind w:left="0" w:right="0" w:hanging="360"/>
        <w:jc w:val="left"/>
        <w:rPr/>
      </w:pPr>
      <w:r>
        <w:rPr>
          <w:rFonts w:ascii="Times New Roman;serif" w:hAnsi="Times New Roman;serif"/>
          <w:b w:val="false"/>
          <w:color w:val="000000"/>
          <w:sz w:val="20"/>
        </w:rPr>
        <w:t>20.</w:t>
      </w:r>
      <w:r>
        <w:rPr>
          <w:rFonts w:ascii="Times New Roman;serif" w:hAnsi="Times New Roman;serif"/>
          <w:b/>
          <w:color w:val="000000"/>
          <w:sz w:val="20"/>
          <w:u w:val="single"/>
        </w:rPr>
        <w:t>Clawback</w:t>
      </w:r>
      <w:r>
        <w:rPr>
          <w:rFonts w:ascii="Times New Roman;serif" w:hAnsi="Times New Roman;serif"/>
          <w:b w:val="false"/>
          <w:color w:val="000000"/>
          <w:sz w:val="20"/>
        </w:rPr>
        <w:t>.  The rights contained in this Agreement shall be subject to (i) any right that the Company may have under the Plan, any Company recoupment policy or other agreement or arrangement with the Participant, or (ii) any right or obligation that the Company may have regarding the clawback of incentive-based compensation under Section 10D of the Exchange Act, as amended (as determined by the rules and regulations promulgated thereunder from time to time by the U.S. Securities and Exchange Commission) or other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01980"/>
                <wp:effectExtent l="0" t="0" r="0" b="0"/>
                <wp:wrapNone/>
                <wp:docPr id="47" name="Frame47"/>
                <a:graphic xmlns:a="http://schemas.openxmlformats.org/drawingml/2006/main">
                  <a:graphicData uri="http://schemas.microsoft.com/office/word/2010/wordprocessingShape">
                    <wps:wsp>
                      <wps:cNvSpPr txBox="1"/>
                      <wps:spPr>
                        <a:xfrm>
                          <a:off x="0" y="0"/>
                          <a:ext cx="6480175" cy="601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p>
                            <w:pPr>
                              <w:pStyle w:val="TextBody"/>
                              <w:bidi w:val="0"/>
                              <w:spacing w:before="12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120" w:after="283"/>
                        <w:jc w:val="right"/>
                        <w:rPr/>
                      </w:pPr>
                      <w:r>
                        <w:rPr/>
                      </w:r>
                    </w:p>
                  </w:txbxContent>
                </v:textbox>
                <w10:wrap type="none"/>
              </v:rect>
            </w:pict>
          </mc:Fallback>
        </mc:AlternateConten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 xml:space="preserve">EXHIBIT A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ROIC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color w:val="000000"/>
        </w:rPr>
        <w:t>“</w:t>
      </w:r>
      <w:r>
        <w:rPr>
          <w:rFonts w:ascii="Times New Roman;serif" w:hAnsi="Times New Roman;serif"/>
          <w:b w:val="false"/>
          <w:color w:val="000000"/>
          <w:sz w:val="20"/>
          <w:u w:val="single"/>
        </w:rPr>
        <w:t>ROIC</w:t>
      </w:r>
      <w:r>
        <w:rPr>
          <w:color w:val="000000"/>
        </w:rPr>
        <w:t>”</w:t>
      </w:r>
      <w:r>
        <w:rPr>
          <w:rFonts w:ascii="Times New Roman;serif" w:hAnsi="Times New Roman;serif"/>
          <w:b w:val="false"/>
          <w:color w:val="000000"/>
          <w:sz w:val="20"/>
        </w:rPr>
        <w:t>, or Return on Invested Capital, for any period means, as determined by the Committee in its good faith sole discretion, Net Operating Profit After Taxes (“NOPAT”) divided by average invested capital.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1.NOPAT means net income plus after-tax financing expense.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2.Invested capital means total assets plus capitalized lease expense, less cash, cash equivalents, and current liabilities excluding short-term debt.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3.Average invested capital means a rolling 13-month average of invested capital.</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drawing>
          <wp:inline distT="0" distB="0" distL="0" distR="0">
            <wp:extent cx="5943600" cy="4324350"/>
            <wp:effectExtent l="0" t="0" r="0" b="0"/>
            <wp:docPr id="4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 descr=""/>
                    <pic:cNvPicPr>
                      <a:picLocks noChangeAspect="1" noChangeArrowheads="1"/>
                    </pic:cNvPicPr>
                  </pic:nvPicPr>
                  <pic:blipFill>
                    <a:blip r:embed="rId2"/>
                    <a:stretch>
                      <a:fillRect/>
                    </a:stretch>
                  </pic:blipFill>
                  <pic:spPr bwMode="auto">
                    <a:xfrm>
                      <a:off x="0" y="0"/>
                      <a:ext cx="5943600" cy="4324350"/>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10.3</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01980"/>
                <wp:effectExtent l="0" t="0" r="0" b="0"/>
                <wp:wrapNone/>
                <wp:docPr id="49" name="Frame48"/>
                <a:graphic xmlns:a="http://schemas.openxmlformats.org/drawingml/2006/main">
                  <a:graphicData uri="http://schemas.microsoft.com/office/word/2010/wordprocessingShape">
                    <wps:wsp>
                      <wps:cNvSpPr txBox="1"/>
                      <wps:spPr>
                        <a:xfrm>
                          <a:off x="0" y="0"/>
                          <a:ext cx="6480175" cy="601980"/>
                        </a:xfrm>
                        <a:prstGeom prst="rect"/>
                        <a:solidFill>
                          <a:srgbClr val="FFFFFF"/>
                        </a:solidFill>
                      </wps:spPr>
                      <wps:txb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12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4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120" w:after="283"/>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DIRECTOR RESTRICTED STOCK UNIT AGREEMENT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BOISE CASCADE OMNIBUS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Participant: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Grant Date: March 1,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Number of Restricted Stock Units (the “RSUs”):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RESTRICTED STOCK UNIT AWARD AGREEMENT (this “Agreement”), dated as of the Grant Date specified above, is entered into by and between Boise Cascade Company, a corporation organized in the State of Delaware (the “Company”), and the Participant specified above, pursuant to the 2025 Boise Cascade Omnibus Incentive Plan (the “Plan”). This Agreement is not enforceable until you accept the Agreement electronically.  Electronic acceptance constitutes your acknowledgment of receipt of the Award and your agreement to the terms of the Agreement.</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w:t>
      </w:r>
      <w:r>
        <w:rPr>
          <w:rFonts w:ascii="Times New Roman;serif" w:hAnsi="Times New Roman;serif"/>
          <w:b/>
          <w:color w:val="000000"/>
          <w:sz w:val="20"/>
        </w:rPr>
        <w:t>Incorporation by Reference; Plan Document Receipt</w:t>
      </w:r>
      <w:r>
        <w:rPr>
          <w:rFonts w:ascii="Times New Roman;serif" w:hAnsi="Times New Roman;serif"/>
          <w:b w:val="false"/>
          <w:color w:val="000000"/>
          <w:sz w:val="20"/>
        </w:rPr>
        <w:t>.  This Agreement is subject in all respects to the terms and provisions of the Plan (including, without limitation, any amendments to the Plan adopted at any time and from time to time unless such amendments are expressly intended not to apply to this Agreement), and the terms and provisions of the Plan are made part of and incorporated into this Agreement as if they were set forth in this Agreement.  Any capitalized term not defined in this Agreement shall have the meaning given in the Plan.  The Participant acknowledges receipt of a copy of the Plan and that the Participant has read the Plan carefully and fully understands it.  If there is any conflict between the terms of this Agreement and the terms of the Plan, the terms of the Plan shall control.</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imes New Roman;serif" w:hAnsi="Times New Roman;serif"/>
          <w:b w:val="false"/>
          <w:color w:val="000000"/>
          <w:sz w:val="20"/>
        </w:rPr>
        <w:t>2.</w:t>
      </w:r>
      <w:r>
        <w:rPr>
          <w:rFonts w:ascii="Times New Roman;serif" w:hAnsi="Times New Roman;serif"/>
          <w:b/>
          <w:color w:val="000000"/>
          <w:sz w:val="20"/>
        </w:rPr>
        <w:t>Grant of Restricted Stock Unit Award.  </w:t>
      </w:r>
      <w:r>
        <w:rPr>
          <w:rFonts w:ascii="Times New Roman;serif" w:hAnsi="Times New Roman;serif"/>
          <w:b w:val="false"/>
          <w:color w:val="000000"/>
          <w:sz w:val="20"/>
        </w:rPr>
        <w:t>The Company grants to the Participant, as of the Grant Date, the number of RSUs specified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No adjustments shall be made for dividends in cash or other property, distributions or other rights in respect of the shares of Common Stock underlying the RSUs, except as otherwise specifically provided for in the Plan or this Agreement.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3.</w:t>
      </w:r>
      <w:r>
        <w:rPr>
          <w:rFonts w:ascii="Times New Roman;serif" w:hAnsi="Times New Roman;serif"/>
          <w:b/>
          <w:color w:val="000000"/>
          <w:sz w:val="20"/>
        </w:rPr>
        <w:t>Vesting</w:t>
      </w:r>
      <w:r>
        <w:rPr>
          <w:rFonts w:ascii="Times New Roman;serif" w:hAnsi="Times New Roman;serif"/>
          <w:b w:val="false"/>
          <w:color w:val="000000"/>
          <w:sz w:val="20"/>
        </w:rPr>
        <w: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(a)Subject to Sections 3(b) and 3(c), (i) 100% of the RSUs granted under this Agreement shall vest on March 1, 2027, as long as the Participant has not incurred a termination of service with the Company (“</w:t>
      </w:r>
      <w:r>
        <w:rPr>
          <w:rFonts w:ascii="Times New Roman;serif" w:hAnsi="Times New Roman;serif"/>
          <w:b w:val="false"/>
          <w:color w:val="000000"/>
          <w:sz w:val="20"/>
          <w:u w:val="single"/>
        </w:rPr>
        <w:t>Termination</w:t>
      </w:r>
      <w:r>
        <w:rPr>
          <w:color w:val="000000"/>
        </w:rPr>
        <w:t>”</w:t>
      </w:r>
      <w:r>
        <w:rPr>
          <w:rFonts w:ascii="Times New Roman;serif" w:hAnsi="Times New Roman;serif"/>
          <w:b w:val="false"/>
          <w:color w:val="000000"/>
          <w:sz w:val="20"/>
        </w:rPr>
        <w:t>) prior to that date, and (ii) if the Participant incurs a Termination prior to March 1, 2027, a pro rata portion of the RSUs granted under this Agreement shall vest on the date of Termination. The pro rata portion shall be calculated based on a fraction, the numerator of which is the number of days elapsed from the Grant Date to the date of the Participant’s Termination and the denominator of which is 365. There shall be no proportionate or partial vesting prior to the vesting date, except as provided in this Section.</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Committee Discretion to Accelerate Vesting.</w:t>
      </w:r>
      <w:r>
        <w:rPr>
          <w:color w:val="000000"/>
        </w:rPr>
        <w:t xml:space="preserve">  </w:t>
      </w:r>
      <w:r>
        <w:rPr>
          <w:rFonts w:ascii="Times New Roman;serif" w:hAnsi="Times New Roman;serif"/>
          <w:b w:val="false"/>
          <w:color w:val="000000"/>
          <w:sz w:val="20"/>
        </w:rPr>
        <w:t>Notwithstanding the foregoing, the Committee may, in its sole discretion, provide for accelerated vesting of the RSUs at any time and for any reason.</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(c)</w:t>
      </w:r>
      <w:r>
        <w:rPr>
          <w:rFonts w:ascii="Times New Roman;serif" w:hAnsi="Times New Roman;serif"/>
          <w:b w:val="false"/>
          <w:color w:val="000000"/>
          <w:sz w:val="20"/>
          <w:u w:val="single"/>
        </w:rPr>
        <w:t>Change in Control.</w:t>
      </w:r>
      <w:r>
        <w:rPr>
          <w:color w:val="000000"/>
        </w:rPr>
        <w:t xml:space="preserve">  </w:t>
      </w:r>
      <w:r>
        <w:rPr>
          <w:rFonts w:ascii="Times New Roman;serif" w:hAnsi="Times New Roman;serif"/>
          <w:b w:val="false"/>
          <w:color w:val="000000"/>
          <w:sz w:val="20"/>
        </w:rPr>
        <w:t>All unvested RSUs shall become fully vested upon the occurrence of a Change in Control as long as the Participant has not incurred a Termination prior to such Change in Control.</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(d)</w:t>
      </w:r>
      <w:r>
        <w:rPr>
          <w:rFonts w:ascii="Times New Roman;serif" w:hAnsi="Times New Roman;serif"/>
          <w:b w:val="false"/>
          <w:color w:val="000000"/>
          <w:sz w:val="20"/>
          <w:u w:val="single"/>
        </w:rPr>
        <w:t>Forfeiture.</w:t>
      </w:r>
      <w:r>
        <w:rPr>
          <w:color w:val="000000"/>
        </w:rPr>
        <w:t xml:space="preserve">  </w:t>
      </w:r>
      <w:r>
        <w:rPr>
          <w:rFonts w:ascii="Times New Roman;serif" w:hAnsi="Times New Roman;serif"/>
          <w:b w:val="false"/>
          <w:color w:val="000000"/>
          <w:sz w:val="20"/>
        </w:rPr>
        <w:t>Subject to the Committee’s discretion to accelerate vesting pursuant to Section 3(b), all unvested RSUs shall be immediately forfeited upon the Participant’s Termination for any reason, except as provided in Section 3(a).</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4.Payment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General.</w:t>
      </w:r>
      <w:r>
        <w:rPr>
          <w:color w:val="000000"/>
        </w:rPr>
        <w:t xml:space="preserve">  </w:t>
      </w:r>
      <w:r>
        <w:rPr>
          <w:rFonts w:ascii="Times New Roman;serif" w:hAnsi="Times New Roman;serif"/>
          <w:b w:val="false"/>
          <w:color w:val="000000"/>
          <w:sz w:val="20"/>
        </w:rPr>
        <w:t xml:space="preserve">Subject to Section 4(b), vested RSUs will be paid to the participant in whole shares of Common Stock. </w:t>
      </w:r>
    </w:p>
    <w:p>
      <w:pPr>
        <w:pStyle w:val="TextBody"/>
        <w:bidi w:val="0"/>
        <w:ind w:left="0" w:right="0" w:hanging="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Time of Payment.</w:t>
      </w:r>
      <w:r>
        <w:rPr>
          <w:color w:val="000000"/>
        </w:rPr>
        <w:t xml:space="preserve"> </w:t>
      </w:r>
      <w:r>
        <w:rPr>
          <w:rFonts w:ascii="Times New Roman;serif" w:hAnsi="Times New Roman;serif"/>
          <w:b w:val="false"/>
          <w:color w:val="000000"/>
          <w:sz w:val="20"/>
        </w:rPr>
        <w:t>The designated payment date shall be the applicable vesting date in Section 3(a) for RSUs vesting pursuant to Section 3(a); the vesting date specified by the Committee for RSUs vesting pursuant to Section 3(b); or the date of Change in Control for RSUs vesting pursuant to Section 3(c). Delivery of shares pursuant to this Agreement shall be made within 14 days following the designated payment date.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(c)</w:t>
      </w:r>
      <w:r>
        <w:rPr>
          <w:rFonts w:ascii="Times New Roman;serif" w:hAnsi="Times New Roman;serif"/>
          <w:b w:val="false"/>
          <w:color w:val="000000"/>
          <w:sz w:val="20"/>
          <w:u w:val="single"/>
        </w:rPr>
        <w:t>Blackout Periods.</w:t>
      </w:r>
      <w:r>
        <w:rPr>
          <w:color w:val="000000"/>
        </w:rPr>
        <w:t xml:space="preserve">  </w:t>
      </w:r>
      <w:r>
        <w:rPr>
          <w:rFonts w:ascii="Times New Roman;serif" w:hAnsi="Times New Roman;serif"/>
          <w:b w:val="false"/>
          <w:color w:val="000000"/>
          <w:sz w:val="20"/>
        </w:rPr>
        <w:t>If the Participant is subject to any Company “blackout” policy or other trading restriction imposed by the Company on the date distribution would otherwise be made pursuant to Section 4(a), distribution shall be instead made on the earlier of (i) the date that the Participant is not subject to any such policy or restriction and (ii) the later of (A) December 31 of the calendar year in which distribution would otherwise have been made and (B) the date that is immediately prior to the expiration of two and one-half months following the date distribution would otherwise have been made.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(d)</w:t>
      </w:r>
      <w:r>
        <w:rPr>
          <w:rFonts w:ascii="Times New Roman;serif" w:hAnsi="Times New Roman;serif"/>
          <w:b w:val="false"/>
          <w:color w:val="000000"/>
          <w:sz w:val="20"/>
          <w:u w:val="single"/>
        </w:rPr>
        <w:t>Short-Term Deferral.</w:t>
      </w:r>
      <w:r>
        <w:rPr>
          <w:color w:val="000000"/>
        </w:rPr>
        <w:t xml:space="preserve"> </w:t>
      </w:r>
      <w:r>
        <w:rPr>
          <w:rFonts w:ascii="Times New Roman;serif" w:hAnsi="Times New Roman;serif"/>
          <w:b w:val="false"/>
          <w:color w:val="000000"/>
          <w:sz w:val="20"/>
        </w:rPr>
        <w:t>This Award is intended to satisfy the “short-term deferral” rules of Section 409A of the Internal Revenue Code and the regulations thereunder and therefore is not subject to Section 409A of the Internal Revenue Code. If it is determined that this Award is not a short-term deferral, the administration of this Award shall comply with Section 409A of the Internal Revenue Code and the regulations thereunder.</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5.</w:t>
      </w:r>
      <w:r>
        <w:rPr>
          <w:rFonts w:ascii="Times New Roman;serif" w:hAnsi="Times New Roman;serif"/>
          <w:b/>
          <w:color w:val="000000"/>
          <w:sz w:val="20"/>
        </w:rPr>
        <w:t>Dividends; Rights as Stockholder</w:t>
      </w:r>
      <w:r>
        <w:rPr>
          <w:rFonts w:ascii="Times New Roman;serif" w:hAnsi="Times New Roman;serif"/>
          <w:b w:val="false"/>
          <w:color w:val="000000"/>
          <w:sz w:val="20"/>
        </w:rPr>
        <w:t>.  Cash dividends on shares of Common Stock underlying the granted RSUs shall be credited to a dividend book entry account on behalf of the Participant, provided that any cash dividends shall be held uninvested and without interest, shall be subject to the same vesting conditions as the RSUs to which they relate, and shall be paid in cash at the same time that the shares of Common Stock underlying the Vested RSUs are delivered to the Participant in accordance with Section 4.  Stock dividends on shares of Common Stock underlying the granted RSUs shall be credited to a dividend book entry account on behalf of the Participant, provided that any stock dividends shall be subject to the same vesting conditions as the RSUs to which they relate and shall be paid in shares of Common Stock at the same time that the shares of Common Stock underlying the RSUs are delivered to the Participant in accordance with Section 4.  The Participant shall have no rights as a stockholder with respect to any shares of Common Stock underlying any RSU unless and until the Participant has become the holder of record of such shares.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6.</w:t>
      </w:r>
      <w:r>
        <w:rPr>
          <w:rFonts w:ascii="Times New Roman;serif" w:hAnsi="Times New Roman;serif"/>
          <w:b/>
          <w:color w:val="000000"/>
          <w:sz w:val="20"/>
        </w:rPr>
        <w:t>Non-Transferability</w:t>
      </w:r>
      <w:r>
        <w:rPr>
          <w:rFonts w:ascii="Times New Roman;serif" w:hAnsi="Times New Roman;serif"/>
          <w:b w:val="false"/>
          <w:color w:val="000000"/>
          <w:sz w:val="20"/>
        </w:rPr>
        <w:t>.  No portion of the RSUs (or the shares of Common Stock underlying the RSUs) may be sold, assigned, transferred, encumbered, hypothecated or pledged by the Participant, other than to the Company as a result of forfeiture of the RSUs as provided in Section 3(d), unless and until the shares are delivered to the Participant in accordance with Section 4 and the Participant has become the holder of record of the shares.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7.</w:t>
      </w:r>
      <w:r>
        <w:rPr>
          <w:rFonts w:ascii="Times New Roman;serif" w:hAnsi="Times New Roman;serif"/>
          <w:b/>
          <w:color w:val="000000"/>
          <w:sz w:val="20"/>
        </w:rPr>
        <w:t>Governing Law</w:t>
      </w:r>
      <w:r>
        <w:rPr>
          <w:rFonts w:ascii="Times New Roman;serif" w:hAnsi="Times New Roman;serif"/>
          <w:b w:val="false"/>
          <w:color w:val="000000"/>
          <w:sz w:val="20"/>
        </w:rPr>
        <w:t>.  All questions concerning the construction, validity and interpretation of this Agreement shall be governed by, and construed in accordance with, the laws of the State of Delaware, without regard to choice of law provisions.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8.</w:t>
      </w:r>
      <w:r>
        <w:rPr>
          <w:rFonts w:ascii="Times New Roman;serif" w:hAnsi="Times New Roman;serif"/>
          <w:b/>
          <w:color w:val="000000"/>
          <w:sz w:val="20"/>
        </w:rPr>
        <w:t>Securities Representations</w:t>
      </w:r>
      <w:r>
        <w:rPr>
          <w:rFonts w:ascii="Times New Roman;serif" w:hAnsi="Times New Roman;serif"/>
          <w:b w:val="false"/>
          <w:color w:val="000000"/>
          <w:sz w:val="20"/>
        </w:rPr>
        <w:t>.  This Agreement is being entered into by the Company in reliance upon the following express representations and warranties of the Participant.  The Participant acknowledges, represents and warrants that: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(a)The Participant has been advised that the Participant may be an “affiliate” within the meaning of Rule 144 under the Securities Act and in this connection the Company is relying in part on the Participant’s representations set forth in this Section 8.</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(b)If the Participant is deemed an affiliate within the meaning of Rule 144 of the Securities Act, the shares of Common Stock issuable hereunder must be held indefinitely unless an exemption from any applicable resale restrictions is available or the Company files an additional registration statement (or a “re-offer prospectus”) with regard to such shares of Common Stock and the Company is under no obligation to register such shares of Common Stock (or to file a “re-offer prospectus”).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(c)If the Participant is deemed an affiliate within the meaning of Rule 144 of the Securities Act, the Participant understands that (i) the exemption from registration under Rule 144 will not be available unless (A) a public trading market then exists for the Common Stock of the Company, (B) adequate information concerning the Company is then available to the public, and (C) other terms and conditions of Rule 144 or any exemption therefrom are complied with, and (ii) any sale of the shares of Common Stock issuable hereunder may be made only in limited amounts in accordance with the terms and conditions of Rule 144 or any exemption therefrom.</w:t>
      </w:r>
    </w:p>
    <w:p>
      <w:pPr>
        <w:pStyle w:val="TextBody"/>
        <w:bidi w:val="0"/>
        <w:ind w:left="0" w:right="0" w:hanging="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val="false"/>
          <w:color w:val="000000"/>
          <w:sz w:val="20"/>
        </w:rPr>
        <w:t>9.</w:t>
      </w:r>
      <w:r>
        <w:rPr>
          <w:rFonts w:ascii="Times New Roman;serif" w:hAnsi="Times New Roman;serif"/>
          <w:b/>
          <w:color w:val="000000"/>
          <w:sz w:val="20"/>
        </w:rPr>
        <w:t>Entire Agreement; Amendment</w:t>
      </w:r>
      <w:r>
        <w:rPr>
          <w:rFonts w:ascii="Times New Roman;serif" w:hAnsi="Times New Roman;serif"/>
          <w:b w:val="false"/>
          <w:color w:val="000000"/>
          <w:sz w:val="20"/>
        </w:rPr>
        <w:t>.  This Agreement, together with the Plan, contains the entire agreement between the parties hereto with respect to the grant of RSUs, and supersedes all prior agreements or prior understandings, whether written or oral, between the parties relating to such subject matter.  The Committee may, in its sole discretion, modify or amend this Agreement from time to time in accordance with and as provided in the Plan.  This Agreement may also be modified or amended by a writing signed by both the Company and the Participant.  The Company shall give written notice to the Participant of any modification or amendment of this Agreement as soon as practical after the adoption of the modification or amendment.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10.</w:t>
      </w:r>
      <w:r>
        <w:rPr>
          <w:rFonts w:ascii="Times New Roman;serif" w:hAnsi="Times New Roman;serif"/>
          <w:b/>
          <w:color w:val="000000"/>
          <w:sz w:val="20"/>
        </w:rPr>
        <w:t>Notices</w:t>
      </w:r>
      <w:r>
        <w:rPr>
          <w:rFonts w:ascii="Times New Roman;serif" w:hAnsi="Times New Roman;serif"/>
          <w:b w:val="false"/>
          <w:color w:val="000000"/>
          <w:sz w:val="20"/>
        </w:rPr>
        <w:t>.  Any notice by the Participant shall be given to the General Counsel of the Company in writing and notice shall be deemed duly given upon receipt by the General Counsel.  Any notice by the Company shall be given to the Participant in writing and such notice shall be deemed duly given upon receipt at the address the Participant has on file with the Company.</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11.</w:t>
      </w:r>
      <w:r>
        <w:rPr>
          <w:rFonts w:ascii="Times New Roman;serif" w:hAnsi="Times New Roman;serif"/>
          <w:b/>
          <w:color w:val="000000"/>
          <w:sz w:val="20"/>
        </w:rPr>
        <w:t>Transfer of Personal Data</w:t>
      </w:r>
      <w:r>
        <w:rPr>
          <w:rFonts w:ascii="Times New Roman;serif" w:hAnsi="Times New Roman;serif"/>
          <w:b w:val="false"/>
          <w:color w:val="000000"/>
          <w:sz w:val="20"/>
        </w:rPr>
        <w:t>.  The Participant authorizes, agrees and unambiguously consents to the transmission by the Company (or any Subsidiary) of any personal data information related to the RSUs awarded under this Agreement for legitimate business purposes (including, without limitation, the administration of the Plan).  This authorization and consent is freely given by the Participant.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12.</w:t>
      </w:r>
      <w:r>
        <w:rPr>
          <w:rFonts w:ascii="Times New Roman;serif" w:hAnsi="Times New Roman;serif"/>
          <w:b/>
          <w:color w:val="000000"/>
          <w:sz w:val="20"/>
        </w:rPr>
        <w:t>Compliance with Laws</w:t>
      </w:r>
      <w:r>
        <w:rPr>
          <w:rFonts w:ascii="Times New Roman;serif" w:hAnsi="Times New Roman;serif"/>
          <w:b w:val="false"/>
          <w:color w:val="000000"/>
          <w:sz w:val="20"/>
        </w:rPr>
        <w:t>.  The grant of RSUs and the issuance of shares of Common Stock hereunder shall be subject to, and shall comply with, the requirements of any applicable foreign and U.S. federal and state laws, rules and regulations (including, without limitation, the provisions of the Securities Act, the Exchange Act and in each case the rules and regulations promulgated thereunder) and any applicable securities exchange requirement.  The Company shall not be obligated to issue the RSUs or any shares of Common Stock pursuant to this Agreement if issuance would violate any applicable requirements.  As a condition to the settlement of the RSUs, the Company may require the Participant to satisfy any qualifications that the Company may deem necessary or appropriate to evidence compliance with any applicable law or regulation.</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13.</w:t>
      </w:r>
      <w:r>
        <w:rPr>
          <w:rFonts w:ascii="Times New Roman;serif" w:hAnsi="Times New Roman;serif"/>
          <w:b/>
          <w:color w:val="000000"/>
          <w:sz w:val="20"/>
        </w:rPr>
        <w:t>Binding Agreement; Assignment</w:t>
      </w:r>
      <w:r>
        <w:rPr>
          <w:rFonts w:ascii="Times New Roman;serif" w:hAnsi="Times New Roman;serif"/>
          <w:b w:val="false"/>
          <w:color w:val="000000"/>
          <w:sz w:val="20"/>
        </w:rPr>
        <w:t>.  This Agreement shall inure to the benefit of, be binding upon, and be enforceable by the Company and its successors and assigns.  The Participant shall not assign (except in accordance with Section 6 hereof) any part of this Agreement without the prior express written consent of the Company.</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14.</w:t>
      </w:r>
      <w:r>
        <w:rPr>
          <w:rFonts w:ascii="Times New Roman;serif" w:hAnsi="Times New Roman;serif"/>
          <w:b/>
          <w:color w:val="000000"/>
          <w:sz w:val="20"/>
        </w:rPr>
        <w:t>Counterparts</w:t>
      </w:r>
      <w:r>
        <w:rPr>
          <w:rFonts w:ascii="Times New Roman;serif" w:hAnsi="Times New Roman;serif"/>
          <w:b w:val="false"/>
          <w:color w:val="000000"/>
          <w:sz w:val="20"/>
        </w:rPr>
        <w:t>.  This Agreement may be executed in one or more counterparts, each of which shall be deemed to be an original, but all of which shall constitute one and the same instrument.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15.</w:t>
      </w:r>
      <w:r>
        <w:rPr>
          <w:rFonts w:ascii="Times New Roman;serif" w:hAnsi="Times New Roman;serif"/>
          <w:b/>
          <w:color w:val="000000"/>
          <w:sz w:val="20"/>
        </w:rPr>
        <w:t>Further Assurances</w:t>
      </w:r>
      <w:r>
        <w:rPr>
          <w:rFonts w:ascii="Times New Roman;serif" w:hAnsi="Times New Roman;serif"/>
          <w:b w:val="false"/>
          <w:color w:val="000000"/>
          <w:sz w:val="20"/>
        </w:rPr>
        <w:t>.  Each party shall do and perform (or shall cause to be done and performed) all further acts and shall execute and deliver all other agreements, certificates, instruments and documents as either party reasonably may request in order to carry out the intent and accomplish the purposes of this Agreement and the Plan and the consummation of the transactions contemplated thereunder.</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16.</w:t>
      </w:r>
      <w:r>
        <w:rPr>
          <w:rFonts w:ascii="Times New Roman;serif" w:hAnsi="Times New Roman;serif"/>
          <w:b/>
          <w:color w:val="000000"/>
          <w:sz w:val="20"/>
        </w:rPr>
        <w:t>Severability</w:t>
      </w:r>
      <w:r>
        <w:rPr>
          <w:rFonts w:ascii="Times New Roman;serif" w:hAnsi="Times New Roman;serif"/>
          <w:b w:val="false"/>
          <w:color w:val="000000"/>
          <w:sz w:val="20"/>
        </w:rPr>
        <w:t>.  The invalidity or unenforceability of any provisions of this Agreement in any jurisdiction shall not affect the validity, legality or enforceability of the remainder of this Agreement in that jurisdiction or the validity, legality or enforceability of any provision of this Agreement in any other jurisdiction, it being intended that all rights and obligations of the parties shall be enforceable to the fullest extent permitted by law.</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17.</w:t>
      </w:r>
      <w:r>
        <w:rPr>
          <w:rFonts w:ascii="Times New Roman;serif" w:hAnsi="Times New Roman;serif"/>
          <w:b/>
          <w:color w:val="000000"/>
          <w:sz w:val="20"/>
        </w:rPr>
        <w:t>Acquired Rights</w:t>
      </w:r>
      <w:r>
        <w:rPr>
          <w:rFonts w:ascii="Times New Roman;serif" w:hAnsi="Times New Roman;serif"/>
          <w:b w:val="false"/>
          <w:color w:val="000000"/>
          <w:sz w:val="20"/>
        </w:rPr>
        <w:t>.  The Participant acknowledges and agrees that: (a) the Company may terminate or amend the Plan at any time; (b) the Award of RSUs made under this Agreement is completely independent of any other award or grant and is made at the sole discretion of the Company; (c) no past grants or awards (including, without limitation, the RSUs awarded under this Agreement) give the Participant any right to any grants or awards in the future </w:t>
      </w:r>
    </w:p>
    <w:p>
      <w:pPr>
        <w:pStyle w:val="TextBody"/>
        <w:bidi w:val="0"/>
        <w:spacing w:before="0" w:after="0"/>
        <w:ind w:left="0" w:right="0" w:hanging="720"/>
        <w:jc w:val="left"/>
        <w:rPr/>
      </w:pPr>
      <w:r>
        <w:rPr/>
      </w:r>
    </w:p>
    <w:p>
      <w:pPr>
        <w:pStyle w:val="TextBody"/>
        <w:bidi w:val="0"/>
        <w:spacing w:lineRule="auto" w:line="288"/>
        <w:ind w:left="0" w:right="0" w:hanging="720"/>
        <w:jc w:val="left"/>
        <w:rPr/>
      </w:pPr>
      <w:r>
        <w:rPr>
          <w:rFonts w:ascii="Times New Roman;serif" w:hAnsi="Times New Roman;serif"/>
          <w:b w:val="false"/>
          <w:color w:val="000000"/>
          <w:sz w:val="20"/>
        </w:rPr>
        <w:t>18.</w:t>
      </w:r>
      <w:r>
        <w:rPr>
          <w:rFonts w:ascii="Times New Roman;serif" w:hAnsi="Times New Roman;serif"/>
          <w:b/>
          <w:color w:val="000000"/>
          <w:sz w:val="20"/>
        </w:rPr>
        <w:t>Clawback</w:t>
      </w:r>
      <w:r>
        <w:rPr>
          <w:rFonts w:ascii="Times New Roman;serif" w:hAnsi="Times New Roman;serif"/>
          <w:b w:val="false"/>
          <w:color w:val="000000"/>
          <w:sz w:val="20"/>
        </w:rPr>
        <w:t>.  The rights contained in this Agreement shall be subject to (i) any right that the Company may have under the Plan, any Company recoupment policy or other agreement or arrangement with the Participant, or (ii) any right or obligation that the Company may have regarding the clawback of incentive-based compensation under Section 10D of the Exchange Act, as amended (as determined by the applicable rules and regulations promulgated thereunder from time to time by the U.S. Securities and Exchange Commission) or other applicable law.</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CEO CERTIFICATION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Jeffrey R. Strom, certify that:</w:t>
      </w:r>
    </w:p>
    <w:p>
      <w:pPr>
        <w:pStyle w:val="TextBody"/>
        <w:bidi w:val="0"/>
        <w:spacing w:before="0" w:after="0"/>
        <w:ind w:left="0" w:right="0" w:firstLine="1440"/>
        <w:jc w:val="left"/>
        <w:rPr/>
      </w:pPr>
      <w:r>
        <w:rPr/>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Boise Cascade Company;</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May 4, 2026 </w:t>
      </w:r>
    </w:p>
    <w:p>
      <w:pPr>
        <w:pStyle w:val="TextBody"/>
        <w:bidi w:val="0"/>
        <w:spacing w:lineRule="auto" w:line="288" w:before="0" w:after="0"/>
        <w:jc w:val="left"/>
        <w:rPr>
          <w:color w:val="000000"/>
        </w:rPr>
      </w:pPr>
      <w:r>
        <w:rPr>
          <w:color w:val="000000"/>
        </w:rPr>
        <w:t> </w:t>
      </w:r>
    </w:p>
    <w:tbl>
      <w:tblPr>
        <w:tblW w:w="2412" w:type="dxa"/>
        <w:jc w:val="center"/>
        <w:tblInd w:w="0" w:type="dxa"/>
        <w:tblLayout w:type="fixed"/>
        <w:tblCellMar>
          <w:top w:w="28" w:type="dxa"/>
          <w:left w:w="28" w:type="dxa"/>
          <w:bottom w:w="28" w:type="dxa"/>
          <w:right w:w="28" w:type="dxa"/>
        </w:tblCellMar>
      </w:tblPr>
      <w:tblGrid>
        <w:gridCol w:w="124"/>
        <w:gridCol w:w="109"/>
        <w:gridCol w:w="109"/>
        <w:gridCol w:w="605"/>
        <w:gridCol w:w="605"/>
        <w:gridCol w:w="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R. Strom</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Jeffrey R. Strom</w:t>
              <w:b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center"/>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CFO CERTIFICATION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Kelly E. Hibbs,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Boise Cascade Company;</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May 4, 2026 </w:t>
      </w:r>
    </w:p>
    <w:p>
      <w:pPr>
        <w:pStyle w:val="TextBody"/>
        <w:bidi w:val="0"/>
        <w:spacing w:lineRule="auto" w:line="288" w:before="0" w:after="0"/>
        <w:jc w:val="left"/>
        <w:rPr>
          <w:color w:val="000000"/>
        </w:rPr>
      </w:pPr>
      <w:r>
        <w:rPr>
          <w:color w:val="000000"/>
        </w:rPr>
        <w:t> </w:t>
      </w:r>
    </w:p>
    <w:tbl>
      <w:tblPr>
        <w:tblW w:w="5171" w:type="dxa"/>
        <w:jc w:val="center"/>
        <w:tblInd w:w="0" w:type="dxa"/>
        <w:tblLayout w:type="fixed"/>
        <w:tblCellMar>
          <w:top w:w="28" w:type="dxa"/>
          <w:left w:w="28" w:type="dxa"/>
          <w:bottom w:w="28" w:type="dxa"/>
          <w:right w:w="28" w:type="dxa"/>
        </w:tblCellMar>
      </w:tblPr>
      <w:tblGrid>
        <w:gridCol w:w="124"/>
        <w:gridCol w:w="109"/>
        <w:gridCol w:w="109"/>
        <w:gridCol w:w="1408"/>
        <w:gridCol w:w="1408"/>
        <w:gridCol w:w="20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E. Hibbs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E. Hibbs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&amp; Treasurer</w:t>
            </w:r>
          </w:p>
        </w:tc>
      </w:tr>
    </w:tbl>
    <w:p>
      <w:pPr>
        <w:pStyle w:val="TextBody"/>
        <w:bidi w:val="0"/>
        <w:spacing w:lineRule="auto" w:line="288" w:before="0" w:after="0"/>
        <w:jc w:val="center"/>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 Jeffrey R. Strom, certify pursuant to 18 U.S.C. Section 1350, as adopted pursuant to Section 906 of the Sarbanes-Oxley Act of 2002, that: </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the accompanying Quarterly Report on Form 10-Q for the quarter ended March 31, 2026 (the "Report") fully complies with the requirements of Section 13(a) or 15(d), as applicable, of the Securities Exchange Act of 1934, as amended; and </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Boise Cascade Company at the dates and for the periods indicated in the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Boise Cascade Company and will be retained by Boise Cascade Company and furnished to the Securities and Exchange Commission or its staff upon request.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expressly disclaims any obligation to update the foregoing certification except as required by law.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May 4, 2026 </w:t>
      </w:r>
    </w:p>
    <w:tbl>
      <w:tblPr>
        <w:tblW w:w="2412" w:type="dxa"/>
        <w:jc w:val="center"/>
        <w:tblInd w:w="0" w:type="dxa"/>
        <w:tblLayout w:type="fixed"/>
        <w:tblCellMar>
          <w:top w:w="28" w:type="dxa"/>
          <w:left w:w="28" w:type="dxa"/>
          <w:bottom w:w="28" w:type="dxa"/>
          <w:right w:w="28" w:type="dxa"/>
        </w:tblCellMar>
      </w:tblPr>
      <w:tblGrid>
        <w:gridCol w:w="124"/>
        <w:gridCol w:w="109"/>
        <w:gridCol w:w="109"/>
        <w:gridCol w:w="605"/>
        <w:gridCol w:w="605"/>
        <w:gridCol w:w="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R. Strom</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Jeffrey R. Strom</w:t>
              <w:br/>
              <w:t>Chief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the requirements of 18 U.S.C. § 1350 and is not being filed as a part of the Report or as a separate disclosure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 Kelly E. Hibbs, certify pursuant to 18 U.S.C. Section 1350, as adopted pursuant to Section 906 of the Sarbanes-Oxley Act of 2002, that: </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the accompanying Quarterly Report on Form 10-Q for the quarter ended March 31, 2026 (the "Report") fully complies with the requirements of Section 13(a) or 15(d), as applicable, of the Securities Exchange Act of 1934, as amended; and </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Boise Cascade Company at the dates and for the periods indicated in the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Boise Cascade Company and will be retained by Boise Cascade Company and furnished to the Securities and Exchange Commission or its staff upon request. </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expressly disclaims any obligation to update the foregoing certification except as required by law.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May 4, 2026 </w:t>
      </w:r>
    </w:p>
    <w:tbl>
      <w:tblPr>
        <w:tblW w:w="5171" w:type="dxa"/>
        <w:jc w:val="center"/>
        <w:tblInd w:w="0" w:type="dxa"/>
        <w:tblLayout w:type="fixed"/>
        <w:tblCellMar>
          <w:top w:w="28" w:type="dxa"/>
          <w:left w:w="28" w:type="dxa"/>
          <w:bottom w:w="28" w:type="dxa"/>
          <w:right w:w="28" w:type="dxa"/>
        </w:tblCellMar>
      </w:tblPr>
      <w:tblGrid>
        <w:gridCol w:w="124"/>
        <w:gridCol w:w="109"/>
        <w:gridCol w:w="109"/>
        <w:gridCol w:w="1408"/>
        <w:gridCol w:w="1408"/>
        <w:gridCol w:w="20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E. Hibbs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E. Hibbs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&amp; Treasurer</w:t>
            </w:r>
          </w:p>
        </w:tc>
      </w:tr>
    </w:tbl>
    <w:p>
      <w:pPr>
        <w:pStyle w:val="TextBody"/>
        <w:bidi w:val="0"/>
        <w:spacing w:lineRule="auto" w:line="288" w:before="0" w:after="0"/>
        <w:jc w:val="center"/>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the requirements of 18 U.S.C. § 1350 and is not being filed as a part of the Report or as a separate disclosure document.</w:t>
      </w:r>
    </w:p>
    <w:p>
      <w:pPr>
        <w:pStyle w:val="TextBody"/>
        <w:bidi w:val="0"/>
        <w:spacing w:before="0" w:after="24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24110</Words>
  <Characters>132639</Characters>
  <CharactersWithSpaces>155986</CharactersWithSpaces>
  <Paragraphs>2030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