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80"/>
        <w:spacing w:after="0"/>
        <w:rPr>
          <w:sz w:val="20"/>
          <w:szCs w:val="20"/>
          <w:color w:val="auto"/>
        </w:rPr>
      </w:pPr>
      <w:r>
        <w:rPr>
          <w:rFonts w:ascii="Arial" w:cs="Arial" w:eastAsia="Arial" w:hAnsi="Arial"/>
          <w:sz w:val="22"/>
          <w:szCs w:val="22"/>
          <w:b w:val="1"/>
          <w:bCs w:val="1"/>
          <w:color w:val="auto"/>
        </w:rPr>
        <w:t>UNITED STATES</w:t>
      </w:r>
    </w:p>
    <w:p>
      <w:pPr>
        <w:spacing w:after="0" w:line="71" w:lineRule="exact"/>
        <w:rPr>
          <w:sz w:val="24"/>
          <w:szCs w:val="24"/>
          <w:color w:val="auto"/>
        </w:rPr>
      </w:pPr>
    </w:p>
    <w:p>
      <w:pPr>
        <w:ind w:left="3340"/>
        <w:spacing w:after="0"/>
        <w:rPr>
          <w:sz w:val="20"/>
          <w:szCs w:val="20"/>
          <w:color w:val="auto"/>
        </w:rPr>
      </w:pPr>
      <w:r>
        <w:rPr>
          <w:rFonts w:ascii="Arial" w:cs="Arial" w:eastAsia="Arial" w:hAnsi="Arial"/>
          <w:sz w:val="22"/>
          <w:szCs w:val="22"/>
          <w:b w:val="1"/>
          <w:bCs w:val="1"/>
          <w:color w:val="auto"/>
        </w:rPr>
        <w:t>SECURITIES AND EXCHANGE COMMISSION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April 30, 2026</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BOISE CASCADE COMPANY</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056" w:right="339" w:bottom="1440" w:gutter="0" w:footer="0" w:header="0"/>
        </w:sectPr>
      </w:pPr>
    </w:p>
    <w:p>
      <w:pPr>
        <w:spacing w:after="0" w:line="144"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2160"/>
        <w:spacing w:after="0"/>
        <w:rPr>
          <w:sz w:val="20"/>
          <w:szCs w:val="20"/>
          <w:color w:val="auto"/>
        </w:rPr>
      </w:pPr>
      <w:r>
        <w:rPr>
          <w:rFonts w:ascii="Arial" w:cs="Arial" w:eastAsia="Arial" w:hAnsi="Arial"/>
          <w:sz w:val="17"/>
          <w:szCs w:val="17"/>
          <w:b w:val="1"/>
          <w:bCs w:val="1"/>
          <w:color w:val="auto"/>
        </w:rPr>
        <w:t>1-35805</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20-1496201</w:t>
      </w:r>
    </w:p>
    <w:p>
      <w:pPr>
        <w:spacing w:after="0" w:line="74" w:lineRule="exact"/>
        <w:rPr>
          <w:sz w:val="24"/>
          <w:szCs w:val="24"/>
          <w:color w:val="auto"/>
        </w:rPr>
      </w:pPr>
    </w:p>
    <w:p>
      <w:pPr>
        <w:sectPr>
          <w:pgSz w:w="11900" w:h="16838" w:orient="portrait"/>
          <w:cols w:equalWidth="0" w:num="3">
            <w:col w:w="4560" w:space="720"/>
            <w:col w:w="2820" w:space="720"/>
            <w:col w:w="2420"/>
          </w:cols>
          <w:pgMar w:left="320" w:top="1056" w:right="339" w:bottom="1440" w:gutter="0" w:footer="0" w:header="0"/>
          <w:type w:val="continuous"/>
        </w:sectPr>
      </w:pPr>
    </w:p>
    <w:p>
      <w:pPr>
        <w:ind w:left="240"/>
        <w:spacing w:after="0"/>
        <w:rPr>
          <w:sz w:val="20"/>
          <w:szCs w:val="20"/>
          <w:color w:val="auto"/>
        </w:rPr>
      </w:pPr>
      <w:r>
        <w:rPr>
          <w:rFonts w:ascii="Arial" w:cs="Arial" w:eastAsia="Arial" w:hAnsi="Arial"/>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820" w:space="720"/>
            <w:col w:w="2740" w:space="720"/>
            <w:col w:w="3240"/>
          </w:cols>
          <w:pgMar w:left="320" w:top="1056" w:right="339" w:bottom="1440" w:gutter="0" w:footer="0" w:header="0"/>
          <w:type w:val="continuous"/>
        </w:sectPr>
      </w:pPr>
    </w:p>
    <w:p>
      <w:pPr>
        <w:spacing w:after="0" w:line="3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1111 West Jefferson Street, Suite 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83702-5389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384-6161</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60"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8" w:lineRule="exact"/>
        <w:rPr>
          <w:sz w:val="24"/>
          <w:szCs w:val="24"/>
          <w:color w:val="auto"/>
        </w:rPr>
      </w:pPr>
    </w:p>
    <w:p>
      <w:pPr>
        <w:ind w:left="740" w:hanging="701"/>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740" w:hanging="701"/>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740" w:hanging="701"/>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740" w:hanging="701"/>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1"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9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1280" w:type="dxa"/>
            <w:vAlign w:val="bottom"/>
          </w:tcPr>
          <w:p>
            <w:pPr>
              <w:spacing w:after="0"/>
              <w:rPr>
                <w:sz w:val="18"/>
                <w:szCs w:val="18"/>
                <w:color w:val="auto"/>
              </w:rPr>
            </w:pPr>
          </w:p>
        </w:tc>
        <w:tc>
          <w:tcPr>
            <w:tcW w:w="272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8"/>
              </w:rPr>
              <w:t>Trading Symbol(s)</w:t>
            </w: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0"/>
        </w:trPr>
        <w:tc>
          <w:tcPr>
            <w:tcW w:w="9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r>
      <w:tr>
        <w:trPr>
          <w:trHeight w:val="254"/>
        </w:trPr>
        <w:tc>
          <w:tcPr>
            <w:tcW w:w="3740" w:type="dxa"/>
            <w:vAlign w:val="bottom"/>
            <w:gridSpan w:val="3"/>
          </w:tcPr>
          <w:p>
            <w:pPr>
              <w:jc w:val="center"/>
              <w:ind w:right="360"/>
              <w:spacing w:after="0"/>
              <w:rPr>
                <w:sz w:val="20"/>
                <w:szCs w:val="20"/>
                <w:color w:val="auto"/>
              </w:rPr>
            </w:pPr>
            <w:r>
              <w:rPr>
                <w:rFonts w:ascii="Arial" w:cs="Arial" w:eastAsia="Arial" w:hAnsi="Arial"/>
                <w:sz w:val="18"/>
                <w:szCs w:val="18"/>
                <w:color w:val="auto"/>
                <w:w w:val="99"/>
              </w:rPr>
              <w:t>Common Stock, $0.01 par value per share</w:t>
            </w:r>
          </w:p>
        </w:tc>
        <w:tc>
          <w:tcPr>
            <w:tcW w:w="360" w:type="dxa"/>
            <w:vAlign w:val="bottom"/>
          </w:tcPr>
          <w:p>
            <w:pPr>
              <w:spacing w:after="0"/>
              <w:rPr>
                <w:sz w:val="22"/>
                <w:szCs w:val="22"/>
                <w:color w:val="auto"/>
              </w:rPr>
            </w:pPr>
          </w:p>
        </w:tc>
        <w:tc>
          <w:tcPr>
            <w:tcW w:w="2360" w:type="dxa"/>
            <w:vAlign w:val="bottom"/>
            <w:gridSpan w:val="2"/>
          </w:tcPr>
          <w:p>
            <w:pPr>
              <w:jc w:val="center"/>
              <w:ind w:right="780"/>
              <w:spacing w:after="0"/>
              <w:rPr>
                <w:sz w:val="20"/>
                <w:szCs w:val="20"/>
                <w:color w:val="auto"/>
              </w:rPr>
            </w:pPr>
            <w:r>
              <w:rPr>
                <w:rFonts w:ascii="Arial" w:cs="Arial" w:eastAsia="Arial" w:hAnsi="Arial"/>
                <w:sz w:val="18"/>
                <w:szCs w:val="18"/>
                <w:color w:val="auto"/>
                <w:w w:val="99"/>
              </w:rPr>
              <w:t>BCC</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bl>
    <w:p>
      <w:pPr>
        <w:spacing w:after="0" w:line="200" w:lineRule="exact"/>
        <w:rPr>
          <w:sz w:val="24"/>
          <w:szCs w:val="24"/>
          <w:color w:val="auto"/>
        </w:rPr>
      </w:pPr>
    </w:p>
    <w:p>
      <w:pPr>
        <w:spacing w:after="0" w:line="25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37"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71" w:lineRule="exact"/>
        <w:rPr>
          <w:sz w:val="20"/>
          <w:szCs w:val="20"/>
          <w:color w:val="auto"/>
        </w:rPr>
      </w:pPr>
    </w:p>
    <w:p>
      <w:pPr>
        <w:jc w:val="both"/>
        <w:ind w:right="180" w:firstLine="648"/>
        <w:spacing w:after="0" w:line="268" w:lineRule="auto"/>
        <w:rPr>
          <w:sz w:val="20"/>
          <w:szCs w:val="20"/>
          <w:color w:val="auto"/>
        </w:rPr>
      </w:pPr>
      <w:r>
        <w:rPr>
          <w:rFonts w:ascii="Arial" w:cs="Arial" w:eastAsia="Arial" w:hAnsi="Arial"/>
          <w:sz w:val="18"/>
          <w:szCs w:val="18"/>
          <w:color w:val="auto"/>
        </w:rPr>
        <w:t>On May 4, 2026, Boise Cascade Company ("Boise Cascade" or the "Company") issued a press release announcing its first quarter 2026 financial results, a copy of which is furnished as Exhibit 99.1 to this Report on Form 8-K. Additionally, Exhibit 99.2, a copy of which is attached hereto, includes certain statistical information related to the Company's quarterly performance.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73"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Annual Shareholders' Meeting.</w:t>
      </w:r>
    </w:p>
    <w:p>
      <w:pPr>
        <w:spacing w:after="0" w:line="25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annual shareholders' meeting of the Company was held via webcast on April 30, 2026. The matters submitted to a vote of the Company’s shareholders at the Company’s annual meeting are set forth in clause (b) below and are described in detail in the Company’s definitive 2026 Notice of Annual Meeting of Shareholders and Proxy Statement (the “Proxy Statement”).</w:t>
      </w:r>
    </w:p>
    <w:p>
      <w:pPr>
        <w:spacing w:after="0" w:line="200"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Voting Results.</w:t>
      </w:r>
    </w:p>
    <w:p>
      <w:pPr>
        <w:spacing w:after="0" w:line="2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Proposal No. 1 - Election of Ten Directors</w:t>
      </w:r>
    </w:p>
    <w:p>
      <w:pPr>
        <w:spacing w:after="0" w:line="25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 xml:space="preserve">Shareholders elected ten directors: </w:t>
      </w:r>
      <w:r>
        <w:rPr>
          <w:rFonts w:ascii="Arial" w:cs="Arial" w:eastAsia="Arial" w:hAnsi="Arial"/>
          <w:sz w:val="18"/>
          <w:szCs w:val="18"/>
          <w:i w:val="1"/>
          <w:iCs w:val="1"/>
          <w:color w:val="auto"/>
        </w:rPr>
        <w:t>Steven Cooper, Craig Dawson, Karen Gowland, Amy Humphreys, Nate Jorgensen, Kristopher Matula,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Duane McDougall, Christopher McGowan, Jeff Strom, and Sue Taylor, </w:t>
      </w:r>
      <w:r>
        <w:rPr>
          <w:rFonts w:ascii="Arial" w:cs="Arial" w:eastAsia="Arial" w:hAnsi="Arial"/>
          <w:sz w:val="18"/>
          <w:szCs w:val="18"/>
          <w:color w:val="auto"/>
        </w:rPr>
        <w:t>each to serve a one-year term expiring at the Company’s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in 2027. The final voting results with respect to each director-nominee are set forth below:</w:t>
      </w:r>
    </w:p>
    <w:p>
      <w:pPr>
        <w:spacing w:after="0" w:line="77"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2640" w:type="dxa"/>
            <w:vAlign w:val="bottom"/>
            <w:gridSpan w:val="2"/>
          </w:tcPr>
          <w:p>
            <w:pPr>
              <w:spacing w:after="0"/>
              <w:rPr>
                <w:sz w:val="20"/>
                <w:szCs w:val="20"/>
                <w:color w:val="auto"/>
              </w:rPr>
            </w:pPr>
            <w:r>
              <w:rPr>
                <w:rFonts w:ascii="Arial" w:cs="Arial" w:eastAsia="Arial" w:hAnsi="Arial"/>
                <w:sz w:val="18"/>
                <w:szCs w:val="18"/>
                <w:color w:val="auto"/>
              </w:rPr>
              <w:t>Nominee</w:t>
            </w:r>
          </w:p>
        </w:tc>
        <w:tc>
          <w:tcPr>
            <w:tcW w:w="2180" w:type="dxa"/>
            <w:vAlign w:val="bottom"/>
            <w:gridSpan w:val="3"/>
          </w:tcPr>
          <w:p>
            <w:pPr>
              <w:jc w:val="center"/>
              <w:ind w:left="350"/>
              <w:spacing w:after="0"/>
              <w:rPr>
                <w:sz w:val="20"/>
                <w:szCs w:val="20"/>
                <w:color w:val="auto"/>
              </w:rPr>
            </w:pPr>
            <w:r>
              <w:rPr>
                <w:rFonts w:ascii="Arial" w:cs="Arial" w:eastAsia="Arial" w:hAnsi="Arial"/>
                <w:sz w:val="18"/>
                <w:szCs w:val="18"/>
                <w:color w:val="auto"/>
                <w:w w:val="96"/>
              </w:rPr>
              <w:t>For</w:t>
            </w:r>
          </w:p>
        </w:tc>
        <w:tc>
          <w:tcPr>
            <w:tcW w:w="1820" w:type="dxa"/>
            <w:vAlign w:val="bottom"/>
            <w:gridSpan w:val="3"/>
          </w:tcPr>
          <w:p>
            <w:pPr>
              <w:ind w:left="540"/>
              <w:spacing w:after="0"/>
              <w:rPr>
                <w:sz w:val="20"/>
                <w:szCs w:val="20"/>
                <w:color w:val="auto"/>
              </w:rPr>
            </w:pPr>
            <w:r>
              <w:rPr>
                <w:rFonts w:ascii="Arial" w:cs="Arial" w:eastAsia="Arial" w:hAnsi="Arial"/>
                <w:sz w:val="18"/>
                <w:szCs w:val="18"/>
                <w:color w:val="auto"/>
              </w:rPr>
              <w:t>Against</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99"/>
              </w:rPr>
              <w:t>Abstain</w:t>
            </w:r>
          </w:p>
        </w:tc>
        <w:tc>
          <w:tcPr>
            <w:tcW w:w="1980" w:type="dxa"/>
            <w:vAlign w:val="bottom"/>
            <w:gridSpan w:val="2"/>
          </w:tcPr>
          <w:p>
            <w:pPr>
              <w:jc w:val="center"/>
              <w:ind w:left="470"/>
              <w:spacing w:after="0"/>
              <w:rPr>
                <w:sz w:val="20"/>
                <w:szCs w:val="20"/>
                <w:color w:val="auto"/>
              </w:rPr>
            </w:pPr>
            <w:r>
              <w:rPr>
                <w:rFonts w:ascii="Arial" w:cs="Arial" w:eastAsia="Arial" w:hAnsi="Arial"/>
                <w:sz w:val="18"/>
                <w:szCs w:val="18"/>
                <w:color w:val="auto"/>
                <w:w w:val="99"/>
              </w:rPr>
              <w:t>Broker Non-Votes</w:t>
            </w:r>
          </w:p>
        </w:tc>
      </w:tr>
      <w:tr>
        <w:trPr>
          <w:trHeight w:val="20"/>
        </w:trPr>
        <w:tc>
          <w:tcPr>
            <w:tcW w:w="7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r>
        <w:trPr>
          <w:trHeight w:val="245"/>
        </w:trPr>
        <w:tc>
          <w:tcPr>
            <w:tcW w:w="2640" w:type="dxa"/>
            <w:vAlign w:val="bottom"/>
            <w:gridSpan w:val="2"/>
          </w:tcPr>
          <w:p>
            <w:pPr>
              <w:spacing w:after="0"/>
              <w:rPr>
                <w:sz w:val="20"/>
                <w:szCs w:val="20"/>
                <w:color w:val="auto"/>
              </w:rPr>
            </w:pPr>
            <w:r>
              <w:rPr>
                <w:rFonts w:ascii="Arial" w:cs="Arial" w:eastAsia="Arial" w:hAnsi="Arial"/>
                <w:sz w:val="18"/>
                <w:szCs w:val="18"/>
                <w:color w:val="auto"/>
              </w:rPr>
              <w:t>Steven Cooper</w:t>
            </w:r>
          </w:p>
        </w:tc>
        <w:tc>
          <w:tcPr>
            <w:tcW w:w="2180" w:type="dxa"/>
            <w:vAlign w:val="bottom"/>
            <w:gridSpan w:val="3"/>
          </w:tcPr>
          <w:p>
            <w:pPr>
              <w:jc w:val="center"/>
              <w:ind w:left="350"/>
              <w:spacing w:after="0"/>
              <w:rPr>
                <w:sz w:val="20"/>
                <w:szCs w:val="20"/>
                <w:color w:val="auto"/>
              </w:rPr>
            </w:pPr>
            <w:r>
              <w:rPr>
                <w:rFonts w:ascii="Arial" w:cs="Arial" w:eastAsia="Arial" w:hAnsi="Arial"/>
                <w:sz w:val="18"/>
                <w:szCs w:val="18"/>
                <w:color w:val="auto"/>
                <w:w w:val="99"/>
              </w:rPr>
              <w:t>30,775,322</w:t>
            </w:r>
          </w:p>
        </w:tc>
        <w:tc>
          <w:tcPr>
            <w:tcW w:w="1820" w:type="dxa"/>
            <w:vAlign w:val="bottom"/>
            <w:gridSpan w:val="3"/>
          </w:tcPr>
          <w:p>
            <w:pPr>
              <w:jc w:val="center"/>
              <w:ind w:right="160"/>
              <w:spacing w:after="0"/>
              <w:rPr>
                <w:sz w:val="20"/>
                <w:szCs w:val="20"/>
                <w:color w:val="auto"/>
              </w:rPr>
            </w:pPr>
            <w:r>
              <w:rPr>
                <w:rFonts w:ascii="Arial" w:cs="Arial" w:eastAsia="Arial" w:hAnsi="Arial"/>
                <w:sz w:val="18"/>
                <w:szCs w:val="18"/>
                <w:color w:val="auto"/>
              </w:rPr>
              <w:t>513,176</w:t>
            </w:r>
          </w:p>
        </w:tc>
        <w:tc>
          <w:tcPr>
            <w:tcW w:w="1180" w:type="dxa"/>
            <w:vAlign w:val="bottom"/>
            <w:gridSpan w:val="2"/>
          </w:tcPr>
          <w:p>
            <w:pPr>
              <w:jc w:val="center"/>
              <w:ind w:left="490"/>
              <w:spacing w:after="0"/>
              <w:rPr>
                <w:sz w:val="20"/>
                <w:szCs w:val="20"/>
                <w:color w:val="auto"/>
              </w:rPr>
            </w:pPr>
            <w:r>
              <w:rPr>
                <w:rFonts w:ascii="Arial" w:cs="Arial" w:eastAsia="Arial" w:hAnsi="Arial"/>
                <w:sz w:val="18"/>
                <w:szCs w:val="18"/>
                <w:color w:val="auto"/>
              </w:rPr>
              <w:t>10,958</w:t>
            </w:r>
          </w:p>
        </w:tc>
        <w:tc>
          <w:tcPr>
            <w:tcW w:w="540" w:type="dxa"/>
            <w:vAlign w:val="bottom"/>
          </w:tcPr>
          <w:p>
            <w:pPr>
              <w:spacing w:after="0"/>
              <w:rPr>
                <w:sz w:val="21"/>
                <w:szCs w:val="21"/>
                <w:color w:val="auto"/>
              </w:rPr>
            </w:pPr>
          </w:p>
        </w:tc>
        <w:tc>
          <w:tcPr>
            <w:tcW w:w="1980" w:type="dxa"/>
            <w:vAlign w:val="bottom"/>
            <w:gridSpan w:val="2"/>
          </w:tcPr>
          <w:p>
            <w:pPr>
              <w:jc w:val="center"/>
              <w:ind w:left="450"/>
              <w:spacing w:after="0"/>
              <w:rPr>
                <w:sz w:val="20"/>
                <w:szCs w:val="20"/>
                <w:color w:val="auto"/>
              </w:rPr>
            </w:pPr>
            <w:r>
              <w:rPr>
                <w:rFonts w:ascii="Arial" w:cs="Arial" w:eastAsia="Arial" w:hAnsi="Arial"/>
                <w:sz w:val="18"/>
                <w:szCs w:val="18"/>
                <w:color w:val="auto"/>
                <w:w w:val="99"/>
              </w:rPr>
              <w:t>1,146,413</w:t>
            </w:r>
          </w:p>
        </w:tc>
      </w:tr>
      <w:tr>
        <w:trPr>
          <w:trHeight w:val="229"/>
        </w:trPr>
        <w:tc>
          <w:tcPr>
            <w:tcW w:w="2640" w:type="dxa"/>
            <w:vAlign w:val="bottom"/>
            <w:gridSpan w:val="2"/>
          </w:tcPr>
          <w:p>
            <w:pPr>
              <w:spacing w:after="0"/>
              <w:rPr>
                <w:sz w:val="20"/>
                <w:szCs w:val="20"/>
                <w:color w:val="auto"/>
              </w:rPr>
            </w:pPr>
            <w:r>
              <w:rPr>
                <w:rFonts w:ascii="Arial" w:cs="Arial" w:eastAsia="Arial" w:hAnsi="Arial"/>
                <w:sz w:val="18"/>
                <w:szCs w:val="18"/>
                <w:color w:val="auto"/>
              </w:rPr>
              <w:t>Craig Dawson</w:t>
            </w:r>
          </w:p>
        </w:tc>
        <w:tc>
          <w:tcPr>
            <w:tcW w:w="2180" w:type="dxa"/>
            <w:vAlign w:val="bottom"/>
            <w:gridSpan w:val="3"/>
          </w:tcPr>
          <w:p>
            <w:pPr>
              <w:jc w:val="center"/>
              <w:ind w:left="350"/>
              <w:spacing w:after="0"/>
              <w:rPr>
                <w:sz w:val="20"/>
                <w:szCs w:val="20"/>
                <w:color w:val="auto"/>
              </w:rPr>
            </w:pPr>
            <w:r>
              <w:rPr>
                <w:rFonts w:ascii="Arial" w:cs="Arial" w:eastAsia="Arial" w:hAnsi="Arial"/>
                <w:sz w:val="18"/>
                <w:szCs w:val="18"/>
                <w:color w:val="auto"/>
                <w:w w:val="99"/>
              </w:rPr>
              <w:t>31,039,950</w:t>
            </w:r>
          </w:p>
        </w:tc>
        <w:tc>
          <w:tcPr>
            <w:tcW w:w="1820" w:type="dxa"/>
            <w:vAlign w:val="bottom"/>
            <w:gridSpan w:val="3"/>
          </w:tcPr>
          <w:p>
            <w:pPr>
              <w:jc w:val="center"/>
              <w:ind w:right="160"/>
              <w:spacing w:after="0"/>
              <w:rPr>
                <w:sz w:val="20"/>
                <w:szCs w:val="20"/>
                <w:color w:val="auto"/>
              </w:rPr>
            </w:pPr>
            <w:r>
              <w:rPr>
                <w:rFonts w:ascii="Arial" w:cs="Arial" w:eastAsia="Arial" w:hAnsi="Arial"/>
                <w:sz w:val="18"/>
                <w:szCs w:val="18"/>
                <w:color w:val="auto"/>
              </w:rPr>
              <w:t>248,087</w:t>
            </w:r>
          </w:p>
        </w:tc>
        <w:tc>
          <w:tcPr>
            <w:tcW w:w="1180" w:type="dxa"/>
            <w:vAlign w:val="bottom"/>
            <w:gridSpan w:val="2"/>
          </w:tcPr>
          <w:p>
            <w:pPr>
              <w:jc w:val="center"/>
              <w:ind w:left="510"/>
              <w:spacing w:after="0"/>
              <w:rPr>
                <w:sz w:val="20"/>
                <w:szCs w:val="20"/>
                <w:color w:val="auto"/>
              </w:rPr>
            </w:pPr>
            <w:r>
              <w:rPr>
                <w:rFonts w:ascii="Arial" w:cs="Arial" w:eastAsia="Arial" w:hAnsi="Arial"/>
                <w:sz w:val="18"/>
                <w:szCs w:val="18"/>
                <w:color w:val="auto"/>
                <w:w w:val="98"/>
              </w:rPr>
              <w:t>11,419</w:t>
            </w:r>
          </w:p>
        </w:tc>
        <w:tc>
          <w:tcPr>
            <w:tcW w:w="540" w:type="dxa"/>
            <w:vAlign w:val="bottom"/>
          </w:tcPr>
          <w:p>
            <w:pPr>
              <w:spacing w:after="0"/>
              <w:rPr>
                <w:sz w:val="19"/>
                <w:szCs w:val="19"/>
                <w:color w:val="auto"/>
              </w:rPr>
            </w:pPr>
          </w:p>
        </w:tc>
        <w:tc>
          <w:tcPr>
            <w:tcW w:w="1980" w:type="dxa"/>
            <w:vAlign w:val="bottom"/>
            <w:gridSpan w:val="2"/>
          </w:tcPr>
          <w:p>
            <w:pPr>
              <w:jc w:val="center"/>
              <w:ind w:left="450"/>
              <w:spacing w:after="0"/>
              <w:rPr>
                <w:sz w:val="20"/>
                <w:szCs w:val="20"/>
                <w:color w:val="auto"/>
              </w:rPr>
            </w:pPr>
            <w:r>
              <w:rPr>
                <w:rFonts w:ascii="Arial" w:cs="Arial" w:eastAsia="Arial" w:hAnsi="Arial"/>
                <w:sz w:val="18"/>
                <w:szCs w:val="18"/>
                <w:color w:val="auto"/>
                <w:w w:val="99"/>
              </w:rPr>
              <w:t>1,146,413</w:t>
            </w:r>
          </w:p>
        </w:tc>
      </w:tr>
      <w:tr>
        <w:trPr>
          <w:trHeight w:val="229"/>
        </w:trPr>
        <w:tc>
          <w:tcPr>
            <w:tcW w:w="2640" w:type="dxa"/>
            <w:vAlign w:val="bottom"/>
            <w:gridSpan w:val="2"/>
          </w:tcPr>
          <w:p>
            <w:pPr>
              <w:spacing w:after="0"/>
              <w:rPr>
                <w:sz w:val="20"/>
                <w:szCs w:val="20"/>
                <w:color w:val="auto"/>
              </w:rPr>
            </w:pPr>
            <w:r>
              <w:rPr>
                <w:rFonts w:ascii="Arial" w:cs="Arial" w:eastAsia="Arial" w:hAnsi="Arial"/>
                <w:sz w:val="18"/>
                <w:szCs w:val="18"/>
                <w:color w:val="auto"/>
              </w:rPr>
              <w:t>Karen Gowland</w:t>
            </w:r>
          </w:p>
        </w:tc>
        <w:tc>
          <w:tcPr>
            <w:tcW w:w="2180" w:type="dxa"/>
            <w:vAlign w:val="bottom"/>
            <w:gridSpan w:val="3"/>
          </w:tcPr>
          <w:p>
            <w:pPr>
              <w:jc w:val="center"/>
              <w:ind w:left="350"/>
              <w:spacing w:after="0"/>
              <w:rPr>
                <w:sz w:val="20"/>
                <w:szCs w:val="20"/>
                <w:color w:val="auto"/>
              </w:rPr>
            </w:pPr>
            <w:r>
              <w:rPr>
                <w:rFonts w:ascii="Arial" w:cs="Arial" w:eastAsia="Arial" w:hAnsi="Arial"/>
                <w:sz w:val="18"/>
                <w:szCs w:val="18"/>
                <w:color w:val="auto"/>
                <w:w w:val="99"/>
              </w:rPr>
              <w:t>30,219,282</w:t>
            </w:r>
          </w:p>
        </w:tc>
        <w:tc>
          <w:tcPr>
            <w:tcW w:w="1820" w:type="dxa"/>
            <w:vAlign w:val="bottom"/>
            <w:gridSpan w:val="3"/>
          </w:tcPr>
          <w:p>
            <w:pPr>
              <w:jc w:val="center"/>
              <w:ind w:right="140"/>
              <w:spacing w:after="0"/>
              <w:rPr>
                <w:sz w:val="20"/>
                <w:szCs w:val="20"/>
                <w:color w:val="auto"/>
              </w:rPr>
            </w:pPr>
            <w:r>
              <w:rPr>
                <w:rFonts w:ascii="Arial" w:cs="Arial" w:eastAsia="Arial" w:hAnsi="Arial"/>
                <w:sz w:val="18"/>
                <w:szCs w:val="18"/>
                <w:color w:val="auto"/>
                <w:w w:val="99"/>
              </w:rPr>
              <w:t>1,068,844</w:t>
            </w:r>
          </w:p>
        </w:tc>
        <w:tc>
          <w:tcPr>
            <w:tcW w:w="1180" w:type="dxa"/>
            <w:vAlign w:val="bottom"/>
            <w:gridSpan w:val="2"/>
          </w:tcPr>
          <w:p>
            <w:pPr>
              <w:jc w:val="center"/>
              <w:ind w:left="510"/>
              <w:spacing w:after="0"/>
              <w:rPr>
                <w:sz w:val="20"/>
                <w:szCs w:val="20"/>
                <w:color w:val="auto"/>
              </w:rPr>
            </w:pPr>
            <w:r>
              <w:rPr>
                <w:rFonts w:ascii="Arial" w:cs="Arial" w:eastAsia="Arial" w:hAnsi="Arial"/>
                <w:sz w:val="18"/>
                <w:szCs w:val="18"/>
                <w:color w:val="auto"/>
                <w:w w:val="98"/>
              </w:rPr>
              <w:t>11,330</w:t>
            </w:r>
          </w:p>
        </w:tc>
        <w:tc>
          <w:tcPr>
            <w:tcW w:w="540" w:type="dxa"/>
            <w:vAlign w:val="bottom"/>
          </w:tcPr>
          <w:p>
            <w:pPr>
              <w:spacing w:after="0"/>
              <w:rPr>
                <w:sz w:val="19"/>
                <w:szCs w:val="19"/>
                <w:color w:val="auto"/>
              </w:rPr>
            </w:pPr>
          </w:p>
        </w:tc>
        <w:tc>
          <w:tcPr>
            <w:tcW w:w="1980" w:type="dxa"/>
            <w:vAlign w:val="bottom"/>
            <w:gridSpan w:val="2"/>
          </w:tcPr>
          <w:p>
            <w:pPr>
              <w:jc w:val="center"/>
              <w:ind w:left="450"/>
              <w:spacing w:after="0"/>
              <w:rPr>
                <w:sz w:val="20"/>
                <w:szCs w:val="20"/>
                <w:color w:val="auto"/>
              </w:rPr>
            </w:pPr>
            <w:r>
              <w:rPr>
                <w:rFonts w:ascii="Arial" w:cs="Arial" w:eastAsia="Arial" w:hAnsi="Arial"/>
                <w:sz w:val="18"/>
                <w:szCs w:val="18"/>
                <w:color w:val="auto"/>
                <w:w w:val="99"/>
              </w:rPr>
              <w:t>1,146,413</w:t>
            </w: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Amy Humphreys</w:t>
            </w:r>
          </w:p>
        </w:tc>
        <w:tc>
          <w:tcPr>
            <w:tcW w:w="2180" w:type="dxa"/>
            <w:vAlign w:val="bottom"/>
            <w:gridSpan w:val="3"/>
          </w:tcPr>
          <w:p>
            <w:pPr>
              <w:jc w:val="center"/>
              <w:ind w:left="350"/>
              <w:spacing w:after="0"/>
              <w:rPr>
                <w:sz w:val="20"/>
                <w:szCs w:val="20"/>
                <w:color w:val="auto"/>
              </w:rPr>
            </w:pPr>
            <w:r>
              <w:rPr>
                <w:rFonts w:ascii="Arial" w:cs="Arial" w:eastAsia="Arial" w:hAnsi="Arial"/>
                <w:sz w:val="18"/>
                <w:szCs w:val="18"/>
                <w:color w:val="auto"/>
                <w:w w:val="99"/>
              </w:rPr>
              <w:t>31,016,691</w:t>
            </w:r>
          </w:p>
        </w:tc>
        <w:tc>
          <w:tcPr>
            <w:tcW w:w="1820" w:type="dxa"/>
            <w:vAlign w:val="bottom"/>
            <w:gridSpan w:val="3"/>
          </w:tcPr>
          <w:p>
            <w:pPr>
              <w:jc w:val="center"/>
              <w:ind w:right="160"/>
              <w:spacing w:after="0"/>
              <w:rPr>
                <w:sz w:val="20"/>
                <w:szCs w:val="20"/>
                <w:color w:val="auto"/>
              </w:rPr>
            </w:pPr>
            <w:r>
              <w:rPr>
                <w:rFonts w:ascii="Arial" w:cs="Arial" w:eastAsia="Arial" w:hAnsi="Arial"/>
                <w:sz w:val="18"/>
                <w:szCs w:val="18"/>
                <w:color w:val="auto"/>
              </w:rPr>
              <w:t>271,334</w:t>
            </w:r>
          </w:p>
        </w:tc>
        <w:tc>
          <w:tcPr>
            <w:tcW w:w="1180" w:type="dxa"/>
            <w:vAlign w:val="bottom"/>
            <w:gridSpan w:val="2"/>
          </w:tcPr>
          <w:p>
            <w:pPr>
              <w:jc w:val="center"/>
              <w:ind w:left="510"/>
              <w:spacing w:after="0"/>
              <w:rPr>
                <w:sz w:val="20"/>
                <w:szCs w:val="20"/>
                <w:color w:val="auto"/>
              </w:rPr>
            </w:pPr>
            <w:r>
              <w:rPr>
                <w:rFonts w:ascii="Arial" w:cs="Arial" w:eastAsia="Arial" w:hAnsi="Arial"/>
                <w:sz w:val="18"/>
                <w:szCs w:val="18"/>
                <w:color w:val="auto"/>
                <w:w w:val="98"/>
              </w:rPr>
              <w:t>11,431</w:t>
            </w:r>
          </w:p>
        </w:tc>
        <w:tc>
          <w:tcPr>
            <w:tcW w:w="540" w:type="dxa"/>
            <w:vAlign w:val="bottom"/>
          </w:tcPr>
          <w:p>
            <w:pPr>
              <w:spacing w:after="0"/>
              <w:rPr>
                <w:sz w:val="19"/>
                <w:szCs w:val="19"/>
                <w:color w:val="auto"/>
              </w:rPr>
            </w:pPr>
          </w:p>
        </w:tc>
        <w:tc>
          <w:tcPr>
            <w:tcW w:w="1980" w:type="dxa"/>
            <w:vAlign w:val="bottom"/>
            <w:gridSpan w:val="2"/>
          </w:tcPr>
          <w:p>
            <w:pPr>
              <w:jc w:val="center"/>
              <w:ind w:left="450"/>
              <w:spacing w:after="0"/>
              <w:rPr>
                <w:sz w:val="20"/>
                <w:szCs w:val="20"/>
                <w:color w:val="auto"/>
              </w:rPr>
            </w:pPr>
            <w:r>
              <w:rPr>
                <w:rFonts w:ascii="Arial" w:cs="Arial" w:eastAsia="Arial" w:hAnsi="Arial"/>
                <w:sz w:val="18"/>
                <w:szCs w:val="18"/>
                <w:color w:val="auto"/>
                <w:w w:val="99"/>
              </w:rPr>
              <w:t>1,146,413</w:t>
            </w:r>
          </w:p>
        </w:tc>
      </w:tr>
      <w:tr>
        <w:trPr>
          <w:trHeight w:val="229"/>
        </w:trPr>
        <w:tc>
          <w:tcPr>
            <w:tcW w:w="2640" w:type="dxa"/>
            <w:vAlign w:val="bottom"/>
            <w:gridSpan w:val="2"/>
          </w:tcPr>
          <w:p>
            <w:pPr>
              <w:spacing w:after="0"/>
              <w:rPr>
                <w:sz w:val="20"/>
                <w:szCs w:val="20"/>
                <w:color w:val="auto"/>
              </w:rPr>
            </w:pPr>
            <w:r>
              <w:rPr>
                <w:rFonts w:ascii="Arial" w:cs="Arial" w:eastAsia="Arial" w:hAnsi="Arial"/>
                <w:sz w:val="18"/>
                <w:szCs w:val="18"/>
                <w:color w:val="auto"/>
              </w:rPr>
              <w:t>Nate Jorgensen</w:t>
            </w:r>
          </w:p>
        </w:tc>
        <w:tc>
          <w:tcPr>
            <w:tcW w:w="2180" w:type="dxa"/>
            <w:vAlign w:val="bottom"/>
            <w:gridSpan w:val="3"/>
          </w:tcPr>
          <w:p>
            <w:pPr>
              <w:jc w:val="center"/>
              <w:ind w:left="350"/>
              <w:spacing w:after="0"/>
              <w:rPr>
                <w:sz w:val="20"/>
                <w:szCs w:val="20"/>
                <w:color w:val="auto"/>
              </w:rPr>
            </w:pPr>
            <w:r>
              <w:rPr>
                <w:rFonts w:ascii="Arial" w:cs="Arial" w:eastAsia="Arial" w:hAnsi="Arial"/>
                <w:sz w:val="18"/>
                <w:szCs w:val="18"/>
                <w:color w:val="auto"/>
                <w:w w:val="99"/>
              </w:rPr>
              <w:t>30,656,537</w:t>
            </w:r>
          </w:p>
        </w:tc>
        <w:tc>
          <w:tcPr>
            <w:tcW w:w="1820" w:type="dxa"/>
            <w:vAlign w:val="bottom"/>
            <w:gridSpan w:val="3"/>
          </w:tcPr>
          <w:p>
            <w:pPr>
              <w:jc w:val="center"/>
              <w:ind w:right="160"/>
              <w:spacing w:after="0"/>
              <w:rPr>
                <w:sz w:val="20"/>
                <w:szCs w:val="20"/>
                <w:color w:val="auto"/>
              </w:rPr>
            </w:pPr>
            <w:r>
              <w:rPr>
                <w:rFonts w:ascii="Arial" w:cs="Arial" w:eastAsia="Arial" w:hAnsi="Arial"/>
                <w:sz w:val="18"/>
                <w:szCs w:val="18"/>
                <w:color w:val="auto"/>
              </w:rPr>
              <w:t>631,557</w:t>
            </w:r>
          </w:p>
        </w:tc>
        <w:tc>
          <w:tcPr>
            <w:tcW w:w="1180" w:type="dxa"/>
            <w:vAlign w:val="bottom"/>
            <w:gridSpan w:val="2"/>
          </w:tcPr>
          <w:p>
            <w:pPr>
              <w:jc w:val="center"/>
              <w:ind w:left="510"/>
              <w:spacing w:after="0"/>
              <w:rPr>
                <w:sz w:val="20"/>
                <w:szCs w:val="20"/>
                <w:color w:val="auto"/>
              </w:rPr>
            </w:pPr>
            <w:r>
              <w:rPr>
                <w:rFonts w:ascii="Arial" w:cs="Arial" w:eastAsia="Arial" w:hAnsi="Arial"/>
                <w:sz w:val="18"/>
                <w:szCs w:val="18"/>
                <w:color w:val="auto"/>
                <w:w w:val="98"/>
              </w:rPr>
              <w:t>11,362</w:t>
            </w:r>
          </w:p>
        </w:tc>
        <w:tc>
          <w:tcPr>
            <w:tcW w:w="540" w:type="dxa"/>
            <w:vAlign w:val="bottom"/>
          </w:tcPr>
          <w:p>
            <w:pPr>
              <w:spacing w:after="0"/>
              <w:rPr>
                <w:sz w:val="19"/>
                <w:szCs w:val="19"/>
                <w:color w:val="auto"/>
              </w:rPr>
            </w:pPr>
          </w:p>
        </w:tc>
        <w:tc>
          <w:tcPr>
            <w:tcW w:w="1980" w:type="dxa"/>
            <w:vAlign w:val="bottom"/>
            <w:gridSpan w:val="2"/>
          </w:tcPr>
          <w:p>
            <w:pPr>
              <w:jc w:val="center"/>
              <w:ind w:left="450"/>
              <w:spacing w:after="0"/>
              <w:rPr>
                <w:sz w:val="20"/>
                <w:szCs w:val="20"/>
                <w:color w:val="auto"/>
              </w:rPr>
            </w:pPr>
            <w:r>
              <w:rPr>
                <w:rFonts w:ascii="Arial" w:cs="Arial" w:eastAsia="Arial" w:hAnsi="Arial"/>
                <w:sz w:val="18"/>
                <w:szCs w:val="18"/>
                <w:color w:val="auto"/>
                <w:w w:val="99"/>
              </w:rPr>
              <w:t>1,146,413</w:t>
            </w: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Kristopher Matula</w:t>
            </w:r>
          </w:p>
        </w:tc>
        <w:tc>
          <w:tcPr>
            <w:tcW w:w="2180" w:type="dxa"/>
            <w:vAlign w:val="bottom"/>
            <w:gridSpan w:val="3"/>
          </w:tcPr>
          <w:p>
            <w:pPr>
              <w:jc w:val="center"/>
              <w:ind w:left="350"/>
              <w:spacing w:after="0"/>
              <w:rPr>
                <w:sz w:val="20"/>
                <w:szCs w:val="20"/>
                <w:color w:val="auto"/>
              </w:rPr>
            </w:pPr>
            <w:r>
              <w:rPr>
                <w:rFonts w:ascii="Arial" w:cs="Arial" w:eastAsia="Arial" w:hAnsi="Arial"/>
                <w:sz w:val="18"/>
                <w:szCs w:val="18"/>
                <w:color w:val="auto"/>
                <w:w w:val="99"/>
              </w:rPr>
              <w:t>30,776,586</w:t>
            </w:r>
          </w:p>
        </w:tc>
        <w:tc>
          <w:tcPr>
            <w:tcW w:w="1820" w:type="dxa"/>
            <w:vAlign w:val="bottom"/>
            <w:gridSpan w:val="3"/>
          </w:tcPr>
          <w:p>
            <w:pPr>
              <w:jc w:val="center"/>
              <w:ind w:right="160"/>
              <w:spacing w:after="0"/>
              <w:rPr>
                <w:sz w:val="20"/>
                <w:szCs w:val="20"/>
                <w:color w:val="auto"/>
              </w:rPr>
            </w:pPr>
            <w:r>
              <w:rPr>
                <w:rFonts w:ascii="Arial" w:cs="Arial" w:eastAsia="Arial" w:hAnsi="Arial"/>
                <w:sz w:val="18"/>
                <w:szCs w:val="18"/>
                <w:color w:val="auto"/>
              </w:rPr>
              <w:t>510,927</w:t>
            </w:r>
          </w:p>
        </w:tc>
        <w:tc>
          <w:tcPr>
            <w:tcW w:w="1180" w:type="dxa"/>
            <w:vAlign w:val="bottom"/>
            <w:gridSpan w:val="2"/>
          </w:tcPr>
          <w:p>
            <w:pPr>
              <w:jc w:val="center"/>
              <w:ind w:left="510"/>
              <w:spacing w:after="0"/>
              <w:rPr>
                <w:sz w:val="20"/>
                <w:szCs w:val="20"/>
                <w:color w:val="auto"/>
              </w:rPr>
            </w:pPr>
            <w:r>
              <w:rPr>
                <w:rFonts w:ascii="Arial" w:cs="Arial" w:eastAsia="Arial" w:hAnsi="Arial"/>
                <w:sz w:val="18"/>
                <w:szCs w:val="18"/>
                <w:color w:val="auto"/>
                <w:w w:val="98"/>
              </w:rPr>
              <w:t>11,943</w:t>
            </w:r>
          </w:p>
        </w:tc>
        <w:tc>
          <w:tcPr>
            <w:tcW w:w="540" w:type="dxa"/>
            <w:vAlign w:val="bottom"/>
          </w:tcPr>
          <w:p>
            <w:pPr>
              <w:spacing w:after="0"/>
              <w:rPr>
                <w:sz w:val="19"/>
                <w:szCs w:val="19"/>
                <w:color w:val="auto"/>
              </w:rPr>
            </w:pPr>
          </w:p>
        </w:tc>
        <w:tc>
          <w:tcPr>
            <w:tcW w:w="1980" w:type="dxa"/>
            <w:vAlign w:val="bottom"/>
            <w:gridSpan w:val="2"/>
          </w:tcPr>
          <w:p>
            <w:pPr>
              <w:jc w:val="center"/>
              <w:ind w:left="450"/>
              <w:spacing w:after="0"/>
              <w:rPr>
                <w:sz w:val="20"/>
                <w:szCs w:val="20"/>
                <w:color w:val="auto"/>
              </w:rPr>
            </w:pPr>
            <w:r>
              <w:rPr>
                <w:rFonts w:ascii="Arial" w:cs="Arial" w:eastAsia="Arial" w:hAnsi="Arial"/>
                <w:sz w:val="18"/>
                <w:szCs w:val="18"/>
                <w:color w:val="auto"/>
                <w:w w:val="99"/>
              </w:rPr>
              <w:t>1,146,413</w:t>
            </w: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Duane McDougall</w:t>
            </w:r>
          </w:p>
        </w:tc>
        <w:tc>
          <w:tcPr>
            <w:tcW w:w="2180" w:type="dxa"/>
            <w:vAlign w:val="bottom"/>
            <w:gridSpan w:val="3"/>
          </w:tcPr>
          <w:p>
            <w:pPr>
              <w:jc w:val="center"/>
              <w:ind w:left="350"/>
              <w:spacing w:after="0"/>
              <w:rPr>
                <w:sz w:val="20"/>
                <w:szCs w:val="20"/>
                <w:color w:val="auto"/>
              </w:rPr>
            </w:pPr>
            <w:r>
              <w:rPr>
                <w:rFonts w:ascii="Arial" w:cs="Arial" w:eastAsia="Arial" w:hAnsi="Arial"/>
                <w:sz w:val="18"/>
                <w:szCs w:val="18"/>
                <w:color w:val="auto"/>
                <w:w w:val="99"/>
              </w:rPr>
              <w:t>30,417,893</w:t>
            </w:r>
          </w:p>
        </w:tc>
        <w:tc>
          <w:tcPr>
            <w:tcW w:w="1820" w:type="dxa"/>
            <w:vAlign w:val="bottom"/>
            <w:gridSpan w:val="3"/>
          </w:tcPr>
          <w:p>
            <w:pPr>
              <w:jc w:val="center"/>
              <w:ind w:right="160"/>
              <w:spacing w:after="0"/>
              <w:rPr>
                <w:sz w:val="20"/>
                <w:szCs w:val="20"/>
                <w:color w:val="auto"/>
              </w:rPr>
            </w:pPr>
            <w:r>
              <w:rPr>
                <w:rFonts w:ascii="Arial" w:cs="Arial" w:eastAsia="Arial" w:hAnsi="Arial"/>
                <w:sz w:val="18"/>
                <w:szCs w:val="18"/>
                <w:color w:val="auto"/>
              </w:rPr>
              <w:t>869,951</w:t>
            </w:r>
          </w:p>
        </w:tc>
        <w:tc>
          <w:tcPr>
            <w:tcW w:w="1180" w:type="dxa"/>
            <w:vAlign w:val="bottom"/>
            <w:gridSpan w:val="2"/>
          </w:tcPr>
          <w:p>
            <w:pPr>
              <w:jc w:val="center"/>
              <w:ind w:left="510"/>
              <w:spacing w:after="0"/>
              <w:rPr>
                <w:sz w:val="20"/>
                <w:szCs w:val="20"/>
                <w:color w:val="auto"/>
              </w:rPr>
            </w:pPr>
            <w:r>
              <w:rPr>
                <w:rFonts w:ascii="Arial" w:cs="Arial" w:eastAsia="Arial" w:hAnsi="Arial"/>
                <w:sz w:val="18"/>
                <w:szCs w:val="18"/>
                <w:color w:val="auto"/>
                <w:w w:val="98"/>
              </w:rPr>
              <w:t>11,612</w:t>
            </w:r>
          </w:p>
        </w:tc>
        <w:tc>
          <w:tcPr>
            <w:tcW w:w="540" w:type="dxa"/>
            <w:vAlign w:val="bottom"/>
          </w:tcPr>
          <w:p>
            <w:pPr>
              <w:spacing w:after="0"/>
              <w:rPr>
                <w:sz w:val="19"/>
                <w:szCs w:val="19"/>
                <w:color w:val="auto"/>
              </w:rPr>
            </w:pPr>
          </w:p>
        </w:tc>
        <w:tc>
          <w:tcPr>
            <w:tcW w:w="1980" w:type="dxa"/>
            <w:vAlign w:val="bottom"/>
            <w:gridSpan w:val="2"/>
          </w:tcPr>
          <w:p>
            <w:pPr>
              <w:jc w:val="center"/>
              <w:ind w:left="450"/>
              <w:spacing w:after="0"/>
              <w:rPr>
                <w:sz w:val="20"/>
                <w:szCs w:val="20"/>
                <w:color w:val="auto"/>
              </w:rPr>
            </w:pPr>
            <w:r>
              <w:rPr>
                <w:rFonts w:ascii="Arial" w:cs="Arial" w:eastAsia="Arial" w:hAnsi="Arial"/>
                <w:sz w:val="18"/>
                <w:szCs w:val="18"/>
                <w:color w:val="auto"/>
                <w:w w:val="99"/>
              </w:rPr>
              <w:t>1,146,413</w:t>
            </w: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Christopher McGowan</w:t>
            </w:r>
          </w:p>
        </w:tc>
        <w:tc>
          <w:tcPr>
            <w:tcW w:w="2180" w:type="dxa"/>
            <w:vAlign w:val="bottom"/>
            <w:gridSpan w:val="3"/>
          </w:tcPr>
          <w:p>
            <w:pPr>
              <w:jc w:val="center"/>
              <w:ind w:left="350"/>
              <w:spacing w:after="0"/>
              <w:rPr>
                <w:sz w:val="20"/>
                <w:szCs w:val="20"/>
                <w:color w:val="auto"/>
              </w:rPr>
            </w:pPr>
            <w:r>
              <w:rPr>
                <w:rFonts w:ascii="Arial" w:cs="Arial" w:eastAsia="Arial" w:hAnsi="Arial"/>
                <w:sz w:val="18"/>
                <w:szCs w:val="18"/>
                <w:color w:val="auto"/>
                <w:w w:val="99"/>
              </w:rPr>
              <w:t>30,639,898</w:t>
            </w:r>
          </w:p>
        </w:tc>
        <w:tc>
          <w:tcPr>
            <w:tcW w:w="1820" w:type="dxa"/>
            <w:vAlign w:val="bottom"/>
            <w:gridSpan w:val="3"/>
          </w:tcPr>
          <w:p>
            <w:pPr>
              <w:jc w:val="center"/>
              <w:ind w:right="160"/>
              <w:spacing w:after="0"/>
              <w:rPr>
                <w:sz w:val="20"/>
                <w:szCs w:val="20"/>
                <w:color w:val="auto"/>
              </w:rPr>
            </w:pPr>
            <w:r>
              <w:rPr>
                <w:rFonts w:ascii="Arial" w:cs="Arial" w:eastAsia="Arial" w:hAnsi="Arial"/>
                <w:sz w:val="18"/>
                <w:szCs w:val="18"/>
                <w:color w:val="auto"/>
              </w:rPr>
              <w:t>648,369</w:t>
            </w:r>
          </w:p>
        </w:tc>
        <w:tc>
          <w:tcPr>
            <w:tcW w:w="1180" w:type="dxa"/>
            <w:vAlign w:val="bottom"/>
            <w:gridSpan w:val="2"/>
          </w:tcPr>
          <w:p>
            <w:pPr>
              <w:jc w:val="center"/>
              <w:ind w:left="510"/>
              <w:spacing w:after="0"/>
              <w:rPr>
                <w:sz w:val="20"/>
                <w:szCs w:val="20"/>
                <w:color w:val="auto"/>
              </w:rPr>
            </w:pPr>
            <w:r>
              <w:rPr>
                <w:rFonts w:ascii="Arial" w:cs="Arial" w:eastAsia="Arial" w:hAnsi="Arial"/>
                <w:sz w:val="18"/>
                <w:szCs w:val="18"/>
                <w:color w:val="auto"/>
                <w:w w:val="98"/>
              </w:rPr>
              <w:t>11,189</w:t>
            </w:r>
          </w:p>
        </w:tc>
        <w:tc>
          <w:tcPr>
            <w:tcW w:w="540" w:type="dxa"/>
            <w:vAlign w:val="bottom"/>
          </w:tcPr>
          <w:p>
            <w:pPr>
              <w:spacing w:after="0"/>
              <w:rPr>
                <w:sz w:val="19"/>
                <w:szCs w:val="19"/>
                <w:color w:val="auto"/>
              </w:rPr>
            </w:pPr>
          </w:p>
        </w:tc>
        <w:tc>
          <w:tcPr>
            <w:tcW w:w="1980" w:type="dxa"/>
            <w:vAlign w:val="bottom"/>
            <w:gridSpan w:val="2"/>
          </w:tcPr>
          <w:p>
            <w:pPr>
              <w:jc w:val="center"/>
              <w:ind w:left="450"/>
              <w:spacing w:after="0"/>
              <w:rPr>
                <w:sz w:val="20"/>
                <w:szCs w:val="20"/>
                <w:color w:val="auto"/>
              </w:rPr>
            </w:pPr>
            <w:r>
              <w:rPr>
                <w:rFonts w:ascii="Arial" w:cs="Arial" w:eastAsia="Arial" w:hAnsi="Arial"/>
                <w:sz w:val="18"/>
                <w:szCs w:val="18"/>
                <w:color w:val="auto"/>
                <w:w w:val="99"/>
              </w:rPr>
              <w:t>1,146,413</w:t>
            </w: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Jeff Strom</w:t>
            </w:r>
          </w:p>
        </w:tc>
        <w:tc>
          <w:tcPr>
            <w:tcW w:w="2180" w:type="dxa"/>
            <w:vAlign w:val="bottom"/>
            <w:gridSpan w:val="3"/>
          </w:tcPr>
          <w:p>
            <w:pPr>
              <w:jc w:val="center"/>
              <w:ind w:left="350"/>
              <w:spacing w:after="0"/>
              <w:rPr>
                <w:sz w:val="20"/>
                <w:szCs w:val="20"/>
                <w:color w:val="auto"/>
              </w:rPr>
            </w:pPr>
            <w:r>
              <w:rPr>
                <w:rFonts w:ascii="Arial" w:cs="Arial" w:eastAsia="Arial" w:hAnsi="Arial"/>
                <w:sz w:val="18"/>
                <w:szCs w:val="18"/>
                <w:color w:val="auto"/>
                <w:w w:val="99"/>
              </w:rPr>
              <w:t>31,045,373</w:t>
            </w:r>
          </w:p>
        </w:tc>
        <w:tc>
          <w:tcPr>
            <w:tcW w:w="1820" w:type="dxa"/>
            <w:vAlign w:val="bottom"/>
            <w:gridSpan w:val="3"/>
          </w:tcPr>
          <w:p>
            <w:pPr>
              <w:jc w:val="center"/>
              <w:ind w:right="160"/>
              <w:spacing w:after="0"/>
              <w:rPr>
                <w:sz w:val="20"/>
                <w:szCs w:val="20"/>
                <w:color w:val="auto"/>
              </w:rPr>
            </w:pPr>
            <w:r>
              <w:rPr>
                <w:rFonts w:ascii="Arial" w:cs="Arial" w:eastAsia="Arial" w:hAnsi="Arial"/>
                <w:sz w:val="18"/>
                <w:szCs w:val="18"/>
                <w:color w:val="auto"/>
              </w:rPr>
              <w:t>242,802</w:t>
            </w:r>
          </w:p>
        </w:tc>
        <w:tc>
          <w:tcPr>
            <w:tcW w:w="1180" w:type="dxa"/>
            <w:vAlign w:val="bottom"/>
            <w:gridSpan w:val="2"/>
          </w:tcPr>
          <w:p>
            <w:pPr>
              <w:jc w:val="center"/>
              <w:ind w:left="510"/>
              <w:spacing w:after="0"/>
              <w:rPr>
                <w:sz w:val="20"/>
                <w:szCs w:val="20"/>
                <w:color w:val="auto"/>
              </w:rPr>
            </w:pPr>
            <w:r>
              <w:rPr>
                <w:rFonts w:ascii="Arial" w:cs="Arial" w:eastAsia="Arial" w:hAnsi="Arial"/>
                <w:sz w:val="18"/>
                <w:szCs w:val="18"/>
                <w:color w:val="auto"/>
                <w:w w:val="98"/>
              </w:rPr>
              <w:t>11,281</w:t>
            </w:r>
          </w:p>
        </w:tc>
        <w:tc>
          <w:tcPr>
            <w:tcW w:w="540" w:type="dxa"/>
            <w:vAlign w:val="bottom"/>
          </w:tcPr>
          <w:p>
            <w:pPr>
              <w:spacing w:after="0"/>
              <w:rPr>
                <w:sz w:val="19"/>
                <w:szCs w:val="19"/>
                <w:color w:val="auto"/>
              </w:rPr>
            </w:pPr>
          </w:p>
        </w:tc>
        <w:tc>
          <w:tcPr>
            <w:tcW w:w="1980" w:type="dxa"/>
            <w:vAlign w:val="bottom"/>
            <w:gridSpan w:val="2"/>
          </w:tcPr>
          <w:p>
            <w:pPr>
              <w:jc w:val="center"/>
              <w:ind w:left="450"/>
              <w:spacing w:after="0"/>
              <w:rPr>
                <w:sz w:val="20"/>
                <w:szCs w:val="20"/>
                <w:color w:val="auto"/>
              </w:rPr>
            </w:pPr>
            <w:r>
              <w:rPr>
                <w:rFonts w:ascii="Arial" w:cs="Arial" w:eastAsia="Arial" w:hAnsi="Arial"/>
                <w:sz w:val="18"/>
                <w:szCs w:val="18"/>
                <w:color w:val="auto"/>
                <w:w w:val="99"/>
              </w:rPr>
              <w:t>1,146,413</w:t>
            </w:r>
          </w:p>
        </w:tc>
      </w:tr>
      <w:tr>
        <w:trPr>
          <w:trHeight w:val="239"/>
        </w:trPr>
        <w:tc>
          <w:tcPr>
            <w:tcW w:w="2640" w:type="dxa"/>
            <w:vAlign w:val="bottom"/>
            <w:gridSpan w:val="2"/>
          </w:tcPr>
          <w:p>
            <w:pPr>
              <w:spacing w:after="0"/>
              <w:rPr>
                <w:sz w:val="20"/>
                <w:szCs w:val="20"/>
                <w:color w:val="auto"/>
              </w:rPr>
            </w:pPr>
            <w:r>
              <w:rPr>
                <w:rFonts w:ascii="Arial" w:cs="Arial" w:eastAsia="Arial" w:hAnsi="Arial"/>
                <w:sz w:val="18"/>
                <w:szCs w:val="18"/>
                <w:color w:val="auto"/>
              </w:rPr>
              <w:t>Sue Taylor</w:t>
            </w:r>
          </w:p>
        </w:tc>
        <w:tc>
          <w:tcPr>
            <w:tcW w:w="2180" w:type="dxa"/>
            <w:vAlign w:val="bottom"/>
            <w:gridSpan w:val="3"/>
          </w:tcPr>
          <w:p>
            <w:pPr>
              <w:jc w:val="center"/>
              <w:ind w:left="350"/>
              <w:spacing w:after="0"/>
              <w:rPr>
                <w:sz w:val="20"/>
                <w:szCs w:val="20"/>
                <w:color w:val="auto"/>
              </w:rPr>
            </w:pPr>
            <w:r>
              <w:rPr>
                <w:rFonts w:ascii="Arial" w:cs="Arial" w:eastAsia="Arial" w:hAnsi="Arial"/>
                <w:sz w:val="18"/>
                <w:szCs w:val="18"/>
                <w:color w:val="auto"/>
                <w:w w:val="99"/>
              </w:rPr>
              <w:t>31,047,548</w:t>
            </w:r>
          </w:p>
        </w:tc>
        <w:tc>
          <w:tcPr>
            <w:tcW w:w="1820" w:type="dxa"/>
            <w:vAlign w:val="bottom"/>
            <w:gridSpan w:val="3"/>
          </w:tcPr>
          <w:p>
            <w:pPr>
              <w:jc w:val="center"/>
              <w:ind w:right="160"/>
              <w:spacing w:after="0"/>
              <w:rPr>
                <w:sz w:val="20"/>
                <w:szCs w:val="20"/>
                <w:color w:val="auto"/>
              </w:rPr>
            </w:pPr>
            <w:r>
              <w:rPr>
                <w:rFonts w:ascii="Arial" w:cs="Arial" w:eastAsia="Arial" w:hAnsi="Arial"/>
                <w:sz w:val="18"/>
                <w:szCs w:val="18"/>
                <w:color w:val="auto"/>
              </w:rPr>
              <w:t>240,365</w:t>
            </w:r>
          </w:p>
        </w:tc>
        <w:tc>
          <w:tcPr>
            <w:tcW w:w="1180" w:type="dxa"/>
            <w:vAlign w:val="bottom"/>
            <w:gridSpan w:val="2"/>
          </w:tcPr>
          <w:p>
            <w:pPr>
              <w:jc w:val="center"/>
              <w:ind w:left="510"/>
              <w:spacing w:after="0"/>
              <w:rPr>
                <w:sz w:val="20"/>
                <w:szCs w:val="20"/>
                <w:color w:val="auto"/>
              </w:rPr>
            </w:pPr>
            <w:r>
              <w:rPr>
                <w:rFonts w:ascii="Arial" w:cs="Arial" w:eastAsia="Arial" w:hAnsi="Arial"/>
                <w:sz w:val="18"/>
                <w:szCs w:val="18"/>
                <w:color w:val="auto"/>
                <w:w w:val="98"/>
              </w:rPr>
              <w:t>11,543</w:t>
            </w:r>
          </w:p>
        </w:tc>
        <w:tc>
          <w:tcPr>
            <w:tcW w:w="540" w:type="dxa"/>
            <w:vAlign w:val="bottom"/>
          </w:tcPr>
          <w:p>
            <w:pPr>
              <w:spacing w:after="0"/>
              <w:rPr>
                <w:sz w:val="20"/>
                <w:szCs w:val="20"/>
                <w:color w:val="auto"/>
              </w:rPr>
            </w:pPr>
          </w:p>
        </w:tc>
        <w:tc>
          <w:tcPr>
            <w:tcW w:w="1980" w:type="dxa"/>
            <w:vAlign w:val="bottom"/>
            <w:gridSpan w:val="2"/>
          </w:tcPr>
          <w:p>
            <w:pPr>
              <w:jc w:val="center"/>
              <w:ind w:left="450"/>
              <w:spacing w:after="0"/>
              <w:rPr>
                <w:sz w:val="20"/>
                <w:szCs w:val="20"/>
                <w:color w:val="auto"/>
              </w:rPr>
            </w:pPr>
            <w:r>
              <w:rPr>
                <w:rFonts w:ascii="Arial" w:cs="Arial" w:eastAsia="Arial" w:hAnsi="Arial"/>
                <w:sz w:val="18"/>
                <w:szCs w:val="18"/>
                <w:color w:val="auto"/>
                <w:w w:val="99"/>
              </w:rPr>
              <w:t>1,146,413</w:t>
            </w: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No. 2 - Advisory Vote on Frequency of Advisory Vote Regarding Executive Compensation</w:t>
      </w:r>
    </w:p>
    <w:p>
      <w:pPr>
        <w:spacing w:after="0" w:line="25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nonbinding advisory proposal regarding the frequency with which shareholders will vote to approve, on a nonbinding advisory basis, the overall executive compensation policies and procedures employed by the Company as described in the Proxy statement, was approved as an annual voting item. The final voting results are set forth below:</w:t>
      </w:r>
    </w:p>
    <w:p>
      <w:pPr>
        <w:spacing w:after="0" w:line="77" w:lineRule="exact"/>
        <w:rPr>
          <w:sz w:val="20"/>
          <w:szCs w:val="20"/>
          <w:color w:val="auto"/>
        </w:rPr>
      </w:pPr>
    </w:p>
    <w:tbl>
      <w:tblPr>
        <w:tblLayout w:type="fixed"/>
        <w:tblInd w:w="1180" w:type="dxa"/>
        <w:tblCellMar>
          <w:top w:w="0" w:type="dxa"/>
          <w:left w:w="0" w:type="dxa"/>
          <w:bottom w:w="0" w:type="dxa"/>
          <w:right w:w="0" w:type="dxa"/>
        </w:tblCellMar>
      </w:tblPr>
      <w:tr>
        <w:trPr>
          <w:trHeight w:val="207"/>
        </w:trPr>
        <w:tc>
          <w:tcPr>
            <w:tcW w:w="200" w:type="dxa"/>
            <w:vAlign w:val="bottom"/>
          </w:tcPr>
          <w:p>
            <w:pPr>
              <w:spacing w:after="0"/>
              <w:rPr>
                <w:sz w:val="18"/>
                <w:szCs w:val="18"/>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1 Year</w:t>
            </w: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 Years</w:t>
            </w: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3 Years</w:t>
            </w:r>
          </w:p>
        </w:tc>
        <w:tc>
          <w:tcPr>
            <w:tcW w:w="186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Abstain</w:t>
            </w:r>
          </w:p>
        </w:tc>
      </w:tr>
      <w:tr>
        <w:trPr>
          <w:trHeight w:val="254"/>
        </w:trPr>
        <w:tc>
          <w:tcPr>
            <w:tcW w:w="1980" w:type="dxa"/>
            <w:vAlign w:val="bottom"/>
            <w:gridSpan w:val="3"/>
          </w:tcPr>
          <w:p>
            <w:pPr>
              <w:jc w:val="right"/>
              <w:ind w:right="1080"/>
              <w:spacing w:after="0"/>
              <w:rPr>
                <w:sz w:val="20"/>
                <w:szCs w:val="20"/>
                <w:color w:val="auto"/>
              </w:rPr>
            </w:pPr>
            <w:r>
              <w:rPr>
                <w:rFonts w:ascii="Arial" w:cs="Arial" w:eastAsia="Arial" w:hAnsi="Arial"/>
                <w:sz w:val="18"/>
                <w:szCs w:val="18"/>
                <w:color w:val="auto"/>
                <w:w w:val="97"/>
              </w:rPr>
              <w:t>28,968,335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9,198</w:t>
            </w:r>
          </w:p>
        </w:tc>
        <w:tc>
          <w:tcPr>
            <w:tcW w:w="1020" w:type="dxa"/>
            <w:vAlign w:val="bottom"/>
          </w:tcPr>
          <w:p>
            <w:pPr>
              <w:spacing w:after="0"/>
              <w:rPr>
                <w:sz w:val="22"/>
                <w:szCs w:val="22"/>
                <w:color w:val="auto"/>
              </w:rPr>
            </w:pPr>
          </w:p>
        </w:tc>
        <w:tc>
          <w:tcPr>
            <w:tcW w:w="3580" w:type="dxa"/>
            <w:vAlign w:val="bottom"/>
            <w:gridSpan w:val="3"/>
          </w:tcPr>
          <w:p>
            <w:pPr>
              <w:jc w:val="right"/>
              <w:ind w:right="1760"/>
              <w:spacing w:after="0"/>
              <w:rPr>
                <w:sz w:val="20"/>
                <w:szCs w:val="20"/>
                <w:color w:val="auto"/>
              </w:rPr>
            </w:pPr>
            <w:r>
              <w:rPr>
                <w:rFonts w:ascii="Arial" w:cs="Arial" w:eastAsia="Arial" w:hAnsi="Arial"/>
                <w:sz w:val="18"/>
                <w:szCs w:val="18"/>
                <w:color w:val="auto"/>
              </w:rPr>
              <w:t>2,304,604</w:t>
            </w:r>
          </w:p>
        </w:tc>
        <w:tc>
          <w:tcPr>
            <w:tcW w:w="600" w:type="dxa"/>
            <w:vAlign w:val="bottom"/>
          </w:tcPr>
          <w:p>
            <w:pPr>
              <w:jc w:val="right"/>
              <w:spacing w:after="0"/>
              <w:rPr>
                <w:sz w:val="20"/>
                <w:szCs w:val="20"/>
                <w:color w:val="auto"/>
              </w:rPr>
            </w:pPr>
            <w:r>
              <w:rPr>
                <w:rFonts w:ascii="Arial" w:cs="Arial" w:eastAsia="Arial" w:hAnsi="Arial"/>
                <w:sz w:val="18"/>
                <w:szCs w:val="18"/>
                <w:color w:val="auto"/>
              </w:rPr>
              <w:t>17,319</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No. 3 - Advisory Vote to Approve Executive Compensation</w:t>
      </w:r>
    </w:p>
    <w:p>
      <w:pPr>
        <w:spacing w:after="0" w:line="25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 nonbinding advisory proposal to approve the compensation of our named executive officers as described in the Proxy Statement was approved. The final voting results are set forth below:</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8"/>
                <w:szCs w:val="18"/>
                <w:color w:val="auto"/>
              </w:rPr>
            </w:pPr>
          </w:p>
        </w:tc>
        <w:tc>
          <w:tcPr>
            <w:tcW w:w="1640" w:type="dxa"/>
            <w:vAlign w:val="bottom"/>
            <w:gridSpan w:val="2"/>
          </w:tcPr>
          <w:p>
            <w:pPr>
              <w:jc w:val="center"/>
              <w:ind w:right="1380"/>
              <w:spacing w:after="0"/>
              <w:rPr>
                <w:sz w:val="20"/>
                <w:szCs w:val="20"/>
                <w:color w:val="auto"/>
              </w:rPr>
            </w:pPr>
            <w:r>
              <w:rPr>
                <w:rFonts w:ascii="Arial" w:cs="Arial" w:eastAsia="Arial" w:hAnsi="Arial"/>
                <w:sz w:val="18"/>
                <w:szCs w:val="18"/>
                <w:color w:val="auto"/>
                <w:w w:val="96"/>
              </w:rPr>
              <w:t>For</w:t>
            </w:r>
          </w:p>
        </w:tc>
        <w:tc>
          <w:tcPr>
            <w:tcW w:w="1100" w:type="dxa"/>
            <w:vAlign w:val="bottom"/>
          </w:tcPr>
          <w:p>
            <w:pPr>
              <w:spacing w:after="0"/>
              <w:rPr>
                <w:sz w:val="18"/>
                <w:szCs w:val="18"/>
                <w:color w:val="auto"/>
              </w:rPr>
            </w:pPr>
          </w:p>
        </w:tc>
        <w:tc>
          <w:tcPr>
            <w:tcW w:w="1680" w:type="dxa"/>
            <w:vAlign w:val="bottom"/>
            <w:gridSpan w:val="2"/>
          </w:tcPr>
          <w:p>
            <w:pPr>
              <w:jc w:val="center"/>
              <w:ind w:right="1080"/>
              <w:spacing w:after="0"/>
              <w:rPr>
                <w:sz w:val="20"/>
                <w:szCs w:val="20"/>
                <w:color w:val="auto"/>
              </w:rPr>
            </w:pPr>
            <w:r>
              <w:rPr>
                <w:rFonts w:ascii="Arial" w:cs="Arial" w:eastAsia="Arial" w:hAnsi="Arial"/>
                <w:sz w:val="18"/>
                <w:szCs w:val="18"/>
                <w:color w:val="auto"/>
                <w:w w:val="99"/>
              </w:rPr>
              <w:t>Against</w:t>
            </w:r>
          </w:p>
        </w:tc>
        <w:tc>
          <w:tcPr>
            <w:tcW w:w="2380" w:type="dxa"/>
            <w:vAlign w:val="bottom"/>
            <w:gridSpan w:val="3"/>
          </w:tcPr>
          <w:p>
            <w:pPr>
              <w:jc w:val="center"/>
              <w:ind w:left="250"/>
              <w:spacing w:after="0"/>
              <w:rPr>
                <w:sz w:val="20"/>
                <w:szCs w:val="20"/>
                <w:color w:val="auto"/>
              </w:rPr>
            </w:pPr>
            <w:r>
              <w:rPr>
                <w:rFonts w:ascii="Arial" w:cs="Arial" w:eastAsia="Arial" w:hAnsi="Arial"/>
                <w:sz w:val="18"/>
                <w:szCs w:val="18"/>
                <w:color w:val="auto"/>
                <w:w w:val="99"/>
              </w:rPr>
              <w:t>Abstain</w:t>
            </w:r>
          </w:p>
        </w:tc>
        <w:tc>
          <w:tcPr>
            <w:tcW w:w="2940" w:type="dxa"/>
            <w:vAlign w:val="bottom"/>
            <w:gridSpan w:val="3"/>
          </w:tcPr>
          <w:p>
            <w:pPr>
              <w:jc w:val="center"/>
              <w:ind w:right="40"/>
              <w:spacing w:after="0"/>
              <w:rPr>
                <w:sz w:val="20"/>
                <w:szCs w:val="20"/>
                <w:color w:val="auto"/>
              </w:rPr>
            </w:pPr>
            <w:r>
              <w:rPr>
                <w:rFonts w:ascii="Arial" w:cs="Arial" w:eastAsia="Arial" w:hAnsi="Arial"/>
                <w:sz w:val="18"/>
                <w:szCs w:val="18"/>
                <w:color w:val="auto"/>
                <w:w w:val="99"/>
              </w:rPr>
              <w:t>Broker Non-Votes</w:t>
            </w:r>
          </w:p>
        </w:tc>
      </w:tr>
      <w:tr>
        <w:trPr>
          <w:trHeight w:val="20"/>
        </w:trPr>
        <w:tc>
          <w:tcPr>
            <w:tcW w:w="1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4"/>
        </w:trPr>
        <w:tc>
          <w:tcPr>
            <w:tcW w:w="3140" w:type="dxa"/>
            <w:vAlign w:val="bottom"/>
            <w:gridSpan w:val="3"/>
          </w:tcPr>
          <w:p>
            <w:pPr>
              <w:jc w:val="right"/>
              <w:ind w:right="1060"/>
              <w:spacing w:after="0"/>
              <w:rPr>
                <w:sz w:val="20"/>
                <w:szCs w:val="20"/>
                <w:color w:val="auto"/>
              </w:rPr>
            </w:pPr>
            <w:r>
              <w:rPr>
                <w:rFonts w:ascii="Arial" w:cs="Arial" w:eastAsia="Arial" w:hAnsi="Arial"/>
                <w:sz w:val="18"/>
                <w:szCs w:val="18"/>
                <w:color w:val="auto"/>
              </w:rPr>
              <w:t>30,375,119</w:t>
            </w:r>
          </w:p>
        </w:tc>
        <w:tc>
          <w:tcPr>
            <w:tcW w:w="2780" w:type="dxa"/>
            <w:vAlign w:val="bottom"/>
            <w:gridSpan w:val="3"/>
          </w:tcPr>
          <w:p>
            <w:pPr>
              <w:jc w:val="right"/>
              <w:ind w:right="1060"/>
              <w:spacing w:after="0"/>
              <w:rPr>
                <w:sz w:val="20"/>
                <w:szCs w:val="20"/>
                <w:color w:val="auto"/>
              </w:rPr>
            </w:pPr>
            <w:r>
              <w:rPr>
                <w:rFonts w:ascii="Arial" w:cs="Arial" w:eastAsia="Arial" w:hAnsi="Arial"/>
                <w:sz w:val="18"/>
                <w:szCs w:val="18"/>
                <w:color w:val="auto"/>
              </w:rPr>
              <w:t>891,993</w:t>
            </w: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32,344</w:t>
            </w:r>
          </w:p>
        </w:tc>
        <w:tc>
          <w:tcPr>
            <w:tcW w:w="720" w:type="dxa"/>
            <w:vAlign w:val="bottom"/>
          </w:tcPr>
          <w:p>
            <w:pPr>
              <w:spacing w:after="0"/>
              <w:rPr>
                <w:sz w:val="22"/>
                <w:szCs w:val="22"/>
                <w:color w:val="auto"/>
              </w:rPr>
            </w:pPr>
          </w:p>
        </w:tc>
        <w:tc>
          <w:tcPr>
            <w:tcW w:w="2160" w:type="dxa"/>
            <w:vAlign w:val="bottom"/>
            <w:gridSpan w:val="2"/>
          </w:tcPr>
          <w:p>
            <w:pPr>
              <w:jc w:val="right"/>
              <w:ind w:right="320"/>
              <w:spacing w:after="0"/>
              <w:rPr>
                <w:sz w:val="20"/>
                <w:szCs w:val="20"/>
                <w:color w:val="auto"/>
              </w:rPr>
            </w:pPr>
            <w:r>
              <w:rPr>
                <w:rFonts w:ascii="Arial" w:cs="Arial" w:eastAsia="Arial" w:hAnsi="Arial"/>
                <w:sz w:val="18"/>
                <w:szCs w:val="18"/>
                <w:color w:val="auto"/>
              </w:rPr>
              <w:t>1,146,413</w:t>
            </w:r>
          </w:p>
        </w:tc>
        <w:tc>
          <w:tcPr>
            <w:tcW w:w="780" w:type="dxa"/>
            <w:vAlign w:val="bottom"/>
          </w:tcPr>
          <w:p>
            <w:pPr>
              <w:spacing w:after="0"/>
              <w:rPr>
                <w:sz w:val="22"/>
                <w:szCs w:val="22"/>
                <w:color w:val="auto"/>
              </w:rPr>
            </w:pPr>
          </w:p>
        </w:tc>
      </w:tr>
      <w:tr>
        <w:trPr>
          <w:trHeight w:val="1218"/>
        </w:trPr>
        <w:tc>
          <w:tcPr>
            <w:tcW w:w="15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Proposal No. 4 - Ratification of Independent Accountant for 2026</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proposal requesting ratification of the appointment of KPMG LLP as the Company’s independent registered public accounting firm for the year ending December 31, 2026 was approved. The final voting results are set forth below:</w:t>
      </w:r>
    </w:p>
    <w:p>
      <w:pPr>
        <w:spacing w:after="0" w:line="59" w:lineRule="exact"/>
        <w:rPr>
          <w:sz w:val="20"/>
          <w:szCs w:val="20"/>
          <w:color w:val="auto"/>
        </w:rPr>
      </w:pPr>
    </w:p>
    <w:tbl>
      <w:tblPr>
        <w:tblLayout w:type="fixed"/>
        <w:tblInd w:w="242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rPr>
              <w:t>For</w:t>
            </w:r>
          </w:p>
        </w:tc>
        <w:tc>
          <w:tcPr>
            <w:tcW w:w="1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gridSpan w:val="2"/>
          </w:tcPr>
          <w:p>
            <w:pPr>
              <w:jc w:val="center"/>
              <w:ind w:right="1100"/>
              <w:spacing w:after="0"/>
              <w:rPr>
                <w:sz w:val="20"/>
                <w:szCs w:val="20"/>
                <w:color w:val="auto"/>
              </w:rPr>
            </w:pPr>
            <w:r>
              <w:rPr>
                <w:rFonts w:ascii="Arial" w:cs="Arial" w:eastAsia="Arial" w:hAnsi="Arial"/>
                <w:sz w:val="18"/>
                <w:szCs w:val="18"/>
                <w:color w:val="auto"/>
                <w:w w:val="99"/>
              </w:rPr>
              <w:t>Against</w:t>
            </w:r>
          </w:p>
        </w:tc>
        <w:tc>
          <w:tcPr>
            <w:tcW w:w="1660" w:type="dxa"/>
            <w:vAlign w:val="bottom"/>
            <w:gridSpan w:val="2"/>
          </w:tcPr>
          <w:p>
            <w:pPr>
              <w:jc w:val="center"/>
              <w:ind w:left="970"/>
              <w:spacing w:after="0"/>
              <w:rPr>
                <w:sz w:val="20"/>
                <w:szCs w:val="20"/>
                <w:color w:val="auto"/>
              </w:rPr>
            </w:pPr>
            <w:r>
              <w:rPr>
                <w:rFonts w:ascii="Arial" w:cs="Arial" w:eastAsia="Arial" w:hAnsi="Arial"/>
                <w:sz w:val="18"/>
                <w:szCs w:val="18"/>
                <w:color w:val="auto"/>
                <w:w w:val="99"/>
              </w:rPr>
              <w:t>Abstain</w:t>
            </w:r>
          </w:p>
        </w:tc>
      </w:tr>
      <w:tr>
        <w:trPr>
          <w:trHeight w:val="20"/>
        </w:trPr>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254"/>
        </w:trPr>
        <w:tc>
          <w:tcPr>
            <w:tcW w:w="1960" w:type="dxa"/>
            <w:vAlign w:val="bottom"/>
            <w:gridSpan w:val="3"/>
          </w:tcPr>
          <w:p>
            <w:pPr>
              <w:jc w:val="right"/>
              <w:ind w:right="1060"/>
              <w:spacing w:after="0"/>
              <w:rPr>
                <w:sz w:val="20"/>
                <w:szCs w:val="20"/>
                <w:color w:val="auto"/>
              </w:rPr>
            </w:pPr>
            <w:r>
              <w:rPr>
                <w:rFonts w:ascii="Arial" w:cs="Arial" w:eastAsia="Arial" w:hAnsi="Arial"/>
                <w:sz w:val="18"/>
                <w:szCs w:val="18"/>
                <w:color w:val="auto"/>
                <w:w w:val="97"/>
              </w:rPr>
              <w:t>31,660,869</w:t>
            </w:r>
          </w:p>
        </w:tc>
        <w:tc>
          <w:tcPr>
            <w:tcW w:w="2780" w:type="dxa"/>
            <w:vAlign w:val="bottom"/>
            <w:gridSpan w:val="3"/>
          </w:tcPr>
          <w:p>
            <w:pPr>
              <w:jc w:val="right"/>
              <w:ind w:right="1060"/>
              <w:spacing w:after="0"/>
              <w:rPr>
                <w:sz w:val="20"/>
                <w:szCs w:val="20"/>
                <w:color w:val="auto"/>
              </w:rPr>
            </w:pPr>
            <w:r>
              <w:rPr>
                <w:rFonts w:ascii="Arial" w:cs="Arial" w:eastAsia="Arial" w:hAnsi="Arial"/>
                <w:sz w:val="18"/>
                <w:szCs w:val="18"/>
                <w:color w:val="auto"/>
              </w:rPr>
              <w:t>757,788</w:t>
            </w: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27,212</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p>
      <w:pPr>
        <w:ind w:left="480" w:hanging="47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furnished as part of this Report on Form 8-K:</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962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0000FF"/>
                <w:w w:val="96"/>
              </w:rPr>
              <w:t>99.</w:t>
            </w:r>
            <w:r>
              <w:rPr>
                <w:rFonts w:ascii="Arial" w:cs="Arial" w:eastAsia="Arial" w:hAnsi="Arial"/>
                <w:sz w:val="18"/>
                <w:szCs w:val="18"/>
                <w:u w:val="single" w:color="auto"/>
                <w:color w:val="0000FF"/>
                <w:w w:val="96"/>
              </w:rPr>
              <w:t>1</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20" w:type="dxa"/>
            <w:vAlign w:val="bottom"/>
            <w:gridSpan w:val="4"/>
          </w:tcPr>
          <w:p>
            <w:pPr>
              <w:spacing w:after="0"/>
              <w:rPr>
                <w:sz w:val="20"/>
                <w:szCs w:val="20"/>
                <w:color w:val="auto"/>
              </w:rPr>
            </w:pPr>
            <w:r>
              <w:rPr>
                <w:rFonts w:ascii="Arial" w:cs="Arial" w:eastAsia="Arial" w:hAnsi="Arial"/>
                <w:sz w:val="18"/>
                <w:szCs w:val="18"/>
                <w:color w:val="0000FF"/>
              </w:rPr>
              <w:t>Boise Cascade Company Earnings Release dated May 4, 2026.</w:t>
            </w:r>
          </w:p>
        </w:tc>
      </w:tr>
      <w:tr>
        <w:trPr>
          <w:trHeight w:val="372"/>
        </w:trPr>
        <w:tc>
          <w:tcPr>
            <w:tcW w:w="20" w:type="dxa"/>
            <w:vAlign w:val="bottom"/>
          </w:tcPr>
          <w:p>
            <w:pPr>
              <w:spacing w:after="0"/>
              <w:rPr>
                <w:sz w:val="24"/>
                <w:szCs w:val="24"/>
                <w:color w:val="auto"/>
              </w:rPr>
            </w:pPr>
          </w:p>
        </w:tc>
        <w:tc>
          <w:tcPr>
            <w:tcW w:w="36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6"/>
              </w:rPr>
              <w:t>99.</w:t>
            </w:r>
            <w:r>
              <w:rPr>
                <w:rFonts w:ascii="Arial" w:cs="Arial" w:eastAsia="Arial" w:hAnsi="Arial"/>
                <w:sz w:val="18"/>
                <w:szCs w:val="18"/>
                <w:u w:val="single" w:color="auto"/>
                <w:color w:val="0000FF"/>
                <w:w w:val="96"/>
              </w:rPr>
              <w:t>2</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9"/>
              </w:rPr>
              <w:t>Boise Cascade Company Quarterly Statistical Information.</w:t>
            </w:r>
          </w:p>
        </w:tc>
        <w:tc>
          <w:tcPr>
            <w:tcW w:w="440" w:type="dxa"/>
            <w:vAlign w:val="bottom"/>
            <w:tcBorders>
              <w:top w:val="single" w:sz="8" w:color="0000FF"/>
            </w:tcBorders>
          </w:tcPr>
          <w:p>
            <w:pPr>
              <w:spacing w:after="0"/>
              <w:rPr>
                <w:sz w:val="24"/>
                <w:szCs w:val="24"/>
                <w:color w:val="auto"/>
              </w:rPr>
            </w:pPr>
          </w:p>
        </w:tc>
        <w:tc>
          <w:tcPr>
            <w:tcW w:w="4540" w:type="dxa"/>
            <w:vAlign w:val="bottom"/>
          </w:tcPr>
          <w:p>
            <w:pPr>
              <w:spacing w:after="0"/>
              <w:rPr>
                <w:sz w:val="24"/>
                <w:szCs w:val="24"/>
                <w:color w:val="auto"/>
              </w:rPr>
            </w:pPr>
          </w:p>
        </w:tc>
      </w:tr>
      <w:tr>
        <w:trPr>
          <w:trHeight w:val="416"/>
        </w:trPr>
        <w:tc>
          <w:tcPr>
            <w:tcW w:w="38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2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731"/>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 w:name="page4"/>
    <w:bookmarkEnd w:id="3"/>
    <w:p>
      <w:pPr>
        <w:jc w:val="center"/>
        <w:ind w:right="-259"/>
        <w:spacing w:after="0"/>
        <w:rPr>
          <w:sz w:val="20"/>
          <w:szCs w:val="20"/>
          <w:color w:val="auto"/>
        </w:rPr>
      </w:pPr>
      <w:r>
        <w:rPr>
          <w:rFonts w:ascii="Arial" w:cs="Arial" w:eastAsia="Arial" w:hAnsi="Arial"/>
          <w:sz w:val="18"/>
          <w:szCs w:val="18"/>
          <w:color w:val="auto"/>
        </w:rPr>
        <w:t>SIGNATURE</w:t>
      </w:r>
    </w:p>
    <w:p>
      <w:pPr>
        <w:spacing w:after="0" w:line="90"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4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BOISE CASCADE COMPANY</w:t>
      </w:r>
    </w:p>
    <w:p>
      <w:pPr>
        <w:spacing w:after="0" w:line="347" w:lineRule="exact"/>
        <w:rPr>
          <w:sz w:val="20"/>
          <w:szCs w:val="20"/>
          <w:color w:val="auto"/>
        </w:rPr>
      </w:pPr>
    </w:p>
    <w:p>
      <w:pPr>
        <w:ind w:left="4540"/>
        <w:spacing w:after="0"/>
        <w:tabs>
          <w:tab w:leader="none" w:pos="4980" w:val="left"/>
        </w:tabs>
        <w:rPr>
          <w:sz w:val="20"/>
          <w:szCs w:val="20"/>
          <w:color w:val="auto"/>
        </w:rPr>
      </w:pPr>
      <w:r>
        <w:rPr>
          <w:rFonts w:ascii="Arial" w:cs="Arial" w:eastAsia="Arial" w:hAnsi="Arial"/>
          <w:sz w:val="18"/>
          <w:szCs w:val="18"/>
          <w:color w:val="auto"/>
        </w:rPr>
        <w:t>By</w:t>
        <w:tab/>
        <w:t>/s/ Jill Twedt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17780</wp:posOffset>
            </wp:positionV>
            <wp:extent cx="39604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11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Jill Twedt</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Senior Vice President, General Counsel &amp; Corporate Secretary</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4, 2026</w:t>
      </w:r>
    </w:p>
    <w:p>
      <w:pPr>
        <w:sectPr>
          <w:pgSz w:w="11900" w:h="16838" w:orient="portrait"/>
          <w:cols w:equalWidth="0" w:num="1">
            <w:col w:w="10980"/>
          </w:cols>
          <w:pgMar w:left="320" w:top="985" w:right="599" w:bottom="1440" w:gutter="0" w:footer="0" w:header="0"/>
        </w:sectPr>
      </w:pPr>
    </w:p>
    <w:bookmarkStart w:id="4" w:name="page5"/>
    <w:bookmarkEnd w:id="4"/>
    <w:p>
      <w:pPr>
        <w:ind w:left="20"/>
        <w:spacing w:after="0"/>
        <w:tabs>
          <w:tab w:leader="none" w:pos="10200" w:val="left"/>
        </w:tabs>
        <w:rPr>
          <w:sz w:val="20"/>
          <w:szCs w:val="20"/>
          <w:color w:val="auto"/>
        </w:rPr>
      </w:pPr>
      <w:r>
        <w:rPr>
          <w:rFonts w:ascii="Arial" w:cs="Arial" w:eastAsia="Arial" w:hAnsi="Arial"/>
          <w:sz w:val="16"/>
          <w:szCs w:val="16"/>
          <w:color w:val="auto"/>
        </w:rPr>
        <w:t>Boise Cascade Company</w:t>
      </w:r>
      <w:r>
        <w:rPr>
          <w:sz w:val="20"/>
          <w:szCs w:val="20"/>
          <w:color w:val="auto"/>
        </w:rPr>
        <w:tab/>
      </w:r>
      <w:r>
        <w:rPr>
          <w:rFonts w:ascii="Arial" w:cs="Arial" w:eastAsia="Arial" w:hAnsi="Arial"/>
          <w:sz w:val="17"/>
          <w:szCs w:val="17"/>
          <w:b w:val="1"/>
          <w:bCs w:val="1"/>
          <w:color w:val="auto"/>
        </w:rPr>
        <w:t>Exhibit 99.1</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6"/>
          <w:szCs w:val="16"/>
          <w:color w:val="auto"/>
        </w:rPr>
        <w:t>1111 West Jefferson Street, Suite 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-80645</wp:posOffset>
            </wp:positionV>
            <wp:extent cx="1474470" cy="848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489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Boise, ID 83702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43"/>
          <w:szCs w:val="43"/>
          <w:color w:val="auto"/>
        </w:rPr>
        <w:t>Press Release</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25"/>
          <w:szCs w:val="25"/>
          <w:color w:val="auto"/>
        </w:rPr>
        <w:t>For Immediate Release: May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Investor Contact</w:t>
            </w:r>
          </w:p>
        </w:tc>
        <w:tc>
          <w:tcPr>
            <w:tcW w:w="5880" w:type="dxa"/>
            <w:vAlign w:val="bottom"/>
          </w:tcPr>
          <w:p>
            <w:pPr>
              <w:jc w:val="right"/>
              <w:spacing w:after="0"/>
              <w:rPr>
                <w:sz w:val="20"/>
                <w:szCs w:val="20"/>
                <w:color w:val="auto"/>
              </w:rPr>
            </w:pPr>
            <w:r>
              <w:rPr>
                <w:rFonts w:ascii="Arial" w:cs="Arial" w:eastAsia="Arial" w:hAnsi="Arial"/>
                <w:sz w:val="18"/>
                <w:szCs w:val="18"/>
                <w:b w:val="1"/>
                <w:bCs w:val="1"/>
                <w:color w:val="auto"/>
              </w:rPr>
              <w:t>Media Contact</w:t>
            </w: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Chris Forrey</w:t>
            </w:r>
          </w:p>
        </w:tc>
        <w:tc>
          <w:tcPr>
            <w:tcW w:w="5880" w:type="dxa"/>
            <w:vAlign w:val="bottom"/>
          </w:tcPr>
          <w:p>
            <w:pPr>
              <w:jc w:val="right"/>
              <w:spacing w:after="0"/>
              <w:rPr>
                <w:sz w:val="20"/>
                <w:szCs w:val="20"/>
                <w:color w:val="auto"/>
              </w:rPr>
            </w:pPr>
            <w:r>
              <w:rPr>
                <w:rFonts w:ascii="Arial" w:cs="Arial" w:eastAsia="Arial" w:hAnsi="Arial"/>
                <w:sz w:val="18"/>
                <w:szCs w:val="18"/>
                <w:color w:val="auto"/>
              </w:rPr>
              <w:t>Amy Evans</w:t>
            </w:r>
          </w:p>
        </w:tc>
      </w:tr>
      <w:tr>
        <w:trPr>
          <w:trHeight w:val="239"/>
        </w:trPr>
        <w:tc>
          <w:tcPr>
            <w:tcW w:w="5360" w:type="dxa"/>
            <w:vAlign w:val="bottom"/>
          </w:tcPr>
          <w:p>
            <w:pPr>
              <w:ind w:left="20"/>
              <w:spacing w:after="0"/>
              <w:rPr>
                <w:sz w:val="20"/>
                <w:szCs w:val="20"/>
                <w:color w:val="auto"/>
              </w:rPr>
            </w:pPr>
            <w:r>
              <w:rPr>
                <w:rFonts w:ascii="Arial" w:cs="Arial" w:eastAsia="Arial" w:hAnsi="Arial"/>
                <w:sz w:val="18"/>
                <w:szCs w:val="18"/>
                <w:color w:val="auto"/>
              </w:rPr>
              <w:t>investor@bc.com</w:t>
            </w:r>
          </w:p>
        </w:tc>
        <w:tc>
          <w:tcPr>
            <w:tcW w:w="5880" w:type="dxa"/>
            <w:vAlign w:val="bottom"/>
          </w:tcPr>
          <w:p>
            <w:pPr>
              <w:jc w:val="right"/>
              <w:spacing w:after="0"/>
              <w:rPr>
                <w:sz w:val="20"/>
                <w:szCs w:val="20"/>
                <w:color w:val="auto"/>
              </w:rPr>
            </w:pPr>
            <w:r>
              <w:rPr>
                <w:rFonts w:ascii="Arial" w:cs="Arial" w:eastAsia="Arial" w:hAnsi="Arial"/>
                <w:sz w:val="18"/>
                <w:szCs w:val="18"/>
                <w:color w:val="auto"/>
              </w:rPr>
              <w:t>mediarelations@bc.com</w:t>
            </w:r>
          </w:p>
        </w:tc>
      </w:tr>
      <w:tr>
        <w:trPr>
          <w:trHeight w:val="50"/>
        </w:trPr>
        <w:tc>
          <w:tcPr>
            <w:tcW w:w="5360" w:type="dxa"/>
            <w:vAlign w:val="bottom"/>
            <w:tcBorders>
              <w:bottom w:val="single" w:sz="8" w:color="auto"/>
            </w:tcBorders>
          </w:tcPr>
          <w:p>
            <w:pPr>
              <w:spacing w:after="0"/>
              <w:rPr>
                <w:sz w:val="4"/>
                <w:szCs w:val="4"/>
                <w:color w:val="auto"/>
              </w:rPr>
            </w:pPr>
          </w:p>
        </w:tc>
        <w:tc>
          <w:tcPr>
            <w:tcW w:w="5880" w:type="dxa"/>
            <w:vAlign w:val="bottom"/>
            <w:tcBorders>
              <w:bottom w:val="single" w:sz="8" w:color="auto"/>
            </w:tcBorders>
          </w:tcPr>
          <w:p>
            <w:pPr>
              <w:spacing w:after="0"/>
              <w:rPr>
                <w:sz w:val="4"/>
                <w:szCs w:val="4"/>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Boise Cascade Company Reports First Quarter 2026 Results</w:t>
      </w:r>
    </w:p>
    <w:p>
      <w:pPr>
        <w:spacing w:after="0" w:line="258"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BOISE, IDAHO - May 4, 2026 - Boise Cascade Company ("Boise Cascade," the "Company," "we," or "our") (NYSE: BCC) today reported net income of $17.8 million, or $0.50 per share, on sales of $1.5 billion for the first quarter ended March 31, 2026, compared with net income of $40.3 million, or $1.06 per share, on sales of $1.5 billion for the first quarter ended March 31, 2025.</w:t>
      </w:r>
    </w:p>
    <w:p>
      <w:pPr>
        <w:spacing w:after="0" w:line="19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the first quarter of 2026, our businesses delivered solid results despite the current demand environment, influenced by geopolitical events, volatile mortgage rates, and severe weather,” said Jeff Strom, CEO. “I am proud of our associates for continuing to lean into our integrated model, which demonstrates its value and resilience in markets like these. Our Company is especially well positioned during periods of uncertainty, as customers increasingly rely on Boise Cascade for reliable service and consistent value across a broad range of industry-leading products. Looking ahead, I am confident in the unwavering focus of our team to deliver value to our stakeholders irrespective of market conditions.”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900" w:type="dxa"/>
            <w:vAlign w:val="bottom"/>
          </w:tcPr>
          <w:p>
            <w:pPr>
              <w:spacing w:after="0"/>
              <w:rPr>
                <w:sz w:val="20"/>
                <w:szCs w:val="20"/>
                <w:color w:val="auto"/>
              </w:rPr>
            </w:pPr>
            <w:r>
              <w:rPr>
                <w:rFonts w:ascii="Arial" w:cs="Arial" w:eastAsia="Arial" w:hAnsi="Arial"/>
                <w:sz w:val="18"/>
                <w:szCs w:val="18"/>
                <w:b w:val="1"/>
                <w:bCs w:val="1"/>
                <w:color w:val="auto"/>
              </w:rPr>
              <w:t>First Quarter 2026 Highlights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339"/>
        </w:trPr>
        <w:tc>
          <w:tcPr>
            <w:tcW w:w="69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1Q 2026</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1Q 2025</w:t>
            </w:r>
          </w:p>
        </w:tc>
        <w:tc>
          <w:tcPr>
            <w:tcW w:w="14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 change</w:t>
            </w:r>
          </w:p>
        </w:tc>
      </w:tr>
      <w:tr>
        <w:trPr>
          <w:trHeight w:val="169"/>
        </w:trPr>
        <w:tc>
          <w:tcPr>
            <w:tcW w:w="6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20" w:type="dxa"/>
            <w:vAlign w:val="bottom"/>
            <w:gridSpan w:val="4"/>
          </w:tcPr>
          <w:p>
            <w:pPr>
              <w:jc w:val="right"/>
              <w:ind w:right="430"/>
              <w:spacing w:after="0" w:line="169" w:lineRule="exact"/>
              <w:rPr>
                <w:sz w:val="20"/>
                <w:szCs w:val="20"/>
                <w:color w:val="auto"/>
              </w:rPr>
            </w:pPr>
            <w:r>
              <w:rPr>
                <w:rFonts w:ascii="Arial" w:cs="Arial" w:eastAsia="Arial" w:hAnsi="Arial"/>
                <w:sz w:val="18"/>
                <w:szCs w:val="18"/>
                <w:color w:val="auto"/>
              </w:rPr>
              <w:t>(in thousands, except per-share data and</w:t>
            </w:r>
          </w:p>
        </w:tc>
      </w:tr>
      <w:tr>
        <w:trPr>
          <w:trHeight w:val="241"/>
        </w:trPr>
        <w:tc>
          <w:tcPr>
            <w:tcW w:w="6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percentages)</w:t>
            </w:r>
          </w:p>
        </w:tc>
        <w:tc>
          <w:tcPr>
            <w:tcW w:w="1400" w:type="dxa"/>
            <w:vAlign w:val="bottom"/>
          </w:tcPr>
          <w:p>
            <w:pPr>
              <w:spacing w:after="0"/>
              <w:rPr>
                <w:sz w:val="20"/>
                <w:szCs w:val="20"/>
                <w:color w:val="auto"/>
              </w:rPr>
            </w:pPr>
          </w:p>
        </w:tc>
      </w:tr>
      <w:tr>
        <w:trPr>
          <w:trHeight w:val="232"/>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Results</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Sales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1,498,614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1,536,494</w:t>
            </w: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17,842</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40,348</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6900" w:type="dxa"/>
            <w:vAlign w:val="bottom"/>
          </w:tcPr>
          <w:p>
            <w:pPr>
              <w:ind w:left="140"/>
              <w:spacing w:after="0"/>
              <w:rPr>
                <w:sz w:val="20"/>
                <w:szCs w:val="20"/>
                <w:color w:val="auto"/>
              </w:rPr>
            </w:pPr>
            <w:r>
              <w:rPr>
                <w:rFonts w:ascii="Arial" w:cs="Arial" w:eastAsia="Arial" w:hAnsi="Arial"/>
                <w:sz w:val="18"/>
                <w:szCs w:val="18"/>
                <w:color w:val="auto"/>
              </w:rPr>
              <w:t>Net income per common share - diluted</w:t>
            </w:r>
          </w:p>
        </w:tc>
        <w:tc>
          <w:tcPr>
            <w:tcW w:w="22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0.50</w:t>
            </w:r>
          </w:p>
        </w:tc>
        <w:tc>
          <w:tcPr>
            <w:tcW w:w="240" w:type="dxa"/>
            <w:vAlign w:val="bottom"/>
          </w:tcPr>
          <w:p>
            <w:pPr>
              <w:spacing w:after="0"/>
              <w:rPr>
                <w:sz w:val="19"/>
                <w:szCs w:val="19"/>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1.06</w:t>
            </w:r>
          </w:p>
        </w:tc>
        <w:tc>
          <w:tcPr>
            <w:tcW w:w="14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69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66,567</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91,607</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Segment Results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Building Materials Distribution 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1,388,948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1,407,116</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900" w:type="dxa"/>
            <w:vAlign w:val="bottom"/>
          </w:tcPr>
          <w:p>
            <w:pPr>
              <w:ind w:left="140"/>
              <w:spacing w:after="0"/>
              <w:rPr>
                <w:sz w:val="20"/>
                <w:szCs w:val="20"/>
                <w:color w:val="auto"/>
              </w:rPr>
            </w:pPr>
            <w:r>
              <w:rPr>
                <w:rFonts w:ascii="Arial" w:cs="Arial" w:eastAsia="Arial" w:hAnsi="Arial"/>
                <w:sz w:val="18"/>
                <w:szCs w:val="18"/>
                <w:color w:val="auto"/>
              </w:rPr>
              <w:t>Building Materials Distribution income</w:t>
            </w:r>
          </w:p>
        </w:tc>
        <w:tc>
          <w:tcPr>
            <w:tcW w:w="22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32,942</w:t>
            </w:r>
          </w:p>
        </w:tc>
        <w:tc>
          <w:tcPr>
            <w:tcW w:w="240" w:type="dxa"/>
            <w:vAlign w:val="bottom"/>
          </w:tcPr>
          <w:p>
            <w:pPr>
              <w:spacing w:after="0"/>
              <w:rPr>
                <w:sz w:val="19"/>
                <w:szCs w:val="19"/>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48,417</w:t>
            </w:r>
          </w:p>
        </w:tc>
        <w:tc>
          <w:tcPr>
            <w:tcW w:w="14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69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Building Materials Distribution EBITDA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48,225</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62,779</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Wood Products sales</w:t>
            </w:r>
          </w:p>
        </w:tc>
        <w:tc>
          <w:tcPr>
            <w:tcW w:w="22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398,204</w:t>
            </w:r>
          </w:p>
        </w:tc>
        <w:tc>
          <w:tcPr>
            <w:tcW w:w="240" w:type="dxa"/>
            <w:vAlign w:val="bottom"/>
          </w:tcPr>
          <w:p>
            <w:pPr>
              <w:spacing w:after="0"/>
              <w:rPr>
                <w:sz w:val="19"/>
                <w:szCs w:val="19"/>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415,845</w:t>
            </w: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Wood Products income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8,492</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17,709</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311"/>
        </w:trPr>
        <w:tc>
          <w:tcPr>
            <w:tcW w:w="6900" w:type="dxa"/>
            <w:vAlign w:val="bottom"/>
          </w:tcPr>
          <w:p>
            <w:pPr>
              <w:ind w:left="140"/>
              <w:spacing w:after="0"/>
              <w:rPr>
                <w:sz w:val="20"/>
                <w:szCs w:val="20"/>
                <w:color w:val="auto"/>
              </w:rPr>
            </w:pPr>
            <w:r>
              <w:rPr>
                <w:rFonts w:ascii="Arial" w:cs="Arial" w:eastAsia="Arial" w:hAnsi="Arial"/>
                <w:sz w:val="18"/>
                <w:szCs w:val="18"/>
                <w:color w:val="auto"/>
              </w:rPr>
              <w:t xml:space="preserve">Wood Products EBITDA </w:t>
            </w:r>
            <w:r>
              <w:rPr>
                <w:rFonts w:ascii="Arial" w:cs="Arial" w:eastAsia="Arial" w:hAnsi="Arial"/>
                <w:sz w:val="23"/>
                <w:szCs w:val="23"/>
                <w:color w:val="auto"/>
                <w:vertAlign w:val="superscript"/>
              </w:rPr>
              <w:t>1</w:t>
            </w:r>
          </w:p>
        </w:tc>
        <w:tc>
          <w:tcPr>
            <w:tcW w:w="22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31,957</w:t>
            </w:r>
          </w:p>
        </w:tc>
        <w:tc>
          <w:tcPr>
            <w:tcW w:w="240" w:type="dxa"/>
            <w:vAlign w:val="bottom"/>
          </w:tcPr>
          <w:p>
            <w:pPr>
              <w:spacing w:after="0"/>
              <w:rPr>
                <w:sz w:val="24"/>
                <w:szCs w:val="24"/>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40,195</w:t>
            </w:r>
          </w:p>
        </w:tc>
        <w:tc>
          <w:tcPr>
            <w:tcW w:w="140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11" w:lineRule="exact"/>
        <w:rPr>
          <w:sz w:val="20"/>
          <w:szCs w:val="20"/>
          <w:color w:val="auto"/>
        </w:rPr>
      </w:pPr>
    </w:p>
    <w:p>
      <w:pPr>
        <w:ind w:left="100" w:hanging="92"/>
        <w:spacing w:after="0"/>
        <w:tabs>
          <w:tab w:leader="none" w:pos="100" w:val="left"/>
        </w:tabs>
        <w:numPr>
          <w:ilvl w:val="0"/>
          <w:numId w:val="5"/>
        </w:numPr>
        <w:rPr>
          <w:rFonts w:ascii="Arial" w:cs="Arial" w:eastAsia="Arial" w:hAnsi="Arial"/>
          <w:sz w:val="23"/>
          <w:szCs w:val="23"/>
          <w:color w:val="auto"/>
          <w:vertAlign w:val="superscript"/>
        </w:rPr>
      </w:pPr>
      <w:r>
        <w:rPr>
          <w:rFonts w:ascii="Arial" w:cs="Arial" w:eastAsia="Arial" w:hAnsi="Arial"/>
          <w:sz w:val="14"/>
          <w:szCs w:val="14"/>
          <w:color w:val="auto"/>
        </w:rPr>
        <w:t>For reconciliations of non-GAAP measures, see summary notes at the end of this press release.</w:t>
      </w:r>
    </w:p>
    <w:p>
      <w:pPr>
        <w:sectPr>
          <w:pgSz w:w="11900" w:h="16838" w:orient="portrait"/>
          <w:cols w:equalWidth="0" w:num="1">
            <w:col w:w="11240"/>
          </w:cols>
          <w:pgMar w:left="320" w:top="971" w:right="339" w:bottom="1440" w:gutter="0" w:footer="0" w:header="0"/>
        </w:sectPr>
      </w:pPr>
    </w:p>
    <w:bookmarkStart w:id="5" w:name="page6"/>
    <w:bookmarkEnd w:id="5"/>
    <w:p>
      <w:pPr>
        <w:ind w:right="100" w:firstLine="648"/>
        <w:spacing w:after="0" w:line="287" w:lineRule="auto"/>
        <w:rPr>
          <w:sz w:val="20"/>
          <w:szCs w:val="20"/>
          <w:color w:val="auto"/>
        </w:rPr>
      </w:pPr>
      <w:r>
        <w:rPr>
          <w:rFonts w:ascii="Arial" w:cs="Arial" w:eastAsia="Arial" w:hAnsi="Arial"/>
          <w:sz w:val="18"/>
          <w:szCs w:val="18"/>
          <w:color w:val="auto"/>
        </w:rPr>
        <w:t>In first quarter 2026, total U.S. housing starts increased 1% while single-family housing starts decreased 5%, compared to the same period in 2025. Single-family housing starts are the key demand driver for our sales.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 Materials Distribution (BMD)</w:t>
      </w:r>
    </w:p>
    <w:p>
      <w:pPr>
        <w:spacing w:after="0" w:line="252"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BMD's sales decreased $18.2 million, or 1%, to $1,388.9 million for the three months ended March 31, 2026, from $1,407.1 million for the three months ended March 31, 2025. Compared with the same quarter in the prior year, the decrease in sales was driven by net sales price decreases of 3%, offset partially by net sales volume increases of 2%. By product line, general line product sales increased 4%, commodity sales decreased 5%, and EWP sales (substantially all of which are sourced through our Wood Products segment) decreased 7%. BMD segment income decreased $15.5 million to $32.9 million for the three months ended March 31, 2026, from $48.4 million for the three months ended March 31, 2025. The decrease in segment income was driven by increased selling and distribution expenses of $8.2 million, as well as a $6.5 million gross margin decrease, resulting from lower gross margins on all product lines, particularly EWP.</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Wood Products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Wood Products' sales, including sales to BMD, decreased $17.6 million, or 4%, to $398.2 million for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31, 2026, from $415.8 million for the three months ended March 31, 2025. The decrease in sales was driven by lower sales prices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volumes for LVL and I-joists (collectively referred to as EWP). These decreases were offset partially by higher plywood sales volumes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prices. Wood Products' segment income decreased $9.2 million to $8.5 million for the three months ended March 31, 2026, from $17.7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 for the three months ended March 31, 2025. The decrease in segment income was primarily due to lower EWP sales prices, as well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higher per-unit EWP conversion costs. These decreases in segment income were offset partially by lower per-unit OSB costs, as well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higher plywood sales volumes and sales prices. Additionally, operations resumed at our Oakdale veneer and plywood mill following planned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downtime in 2025 to complete significant mill modernization projects, which provided a favorable impact on per-unit conversion costs.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Comparative average net selling prices and sales volume changes for EWP and plywood are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180" w:type="dxa"/>
            <w:vAlign w:val="bottom"/>
          </w:tcPr>
          <w:p>
            <w:pPr>
              <w:spacing w:after="0"/>
              <w:rPr>
                <w:sz w:val="20"/>
                <w:szCs w:val="20"/>
                <w:color w:val="auto"/>
              </w:rPr>
            </w:pPr>
          </w:p>
        </w:tc>
        <w:tc>
          <w:tcPr>
            <w:tcW w:w="2640" w:type="dxa"/>
            <w:vAlign w:val="bottom"/>
            <w:gridSpan w:val="2"/>
          </w:tcPr>
          <w:p>
            <w:pPr>
              <w:ind w:left="340"/>
              <w:spacing w:after="0"/>
              <w:rPr>
                <w:sz w:val="20"/>
                <w:szCs w:val="20"/>
                <w:color w:val="auto"/>
              </w:rPr>
            </w:pPr>
            <w:r>
              <w:rPr>
                <w:rFonts w:ascii="Arial" w:cs="Arial" w:eastAsia="Arial" w:hAnsi="Arial"/>
                <w:sz w:val="18"/>
                <w:szCs w:val="18"/>
                <w:b w:val="1"/>
                <w:bCs w:val="1"/>
                <w:color w:val="auto"/>
              </w:rPr>
              <w:t>1Q 2026 vs. 1Q 2025</w:t>
            </w:r>
          </w:p>
        </w:tc>
        <w:tc>
          <w:tcPr>
            <w:tcW w:w="2420" w:type="dxa"/>
            <w:vAlign w:val="bottom"/>
          </w:tcPr>
          <w:p>
            <w:pPr>
              <w:ind w:left="340"/>
              <w:spacing w:after="0"/>
              <w:rPr>
                <w:sz w:val="20"/>
                <w:szCs w:val="20"/>
                <w:color w:val="auto"/>
              </w:rPr>
            </w:pPr>
            <w:r>
              <w:rPr>
                <w:rFonts w:ascii="Arial" w:cs="Arial" w:eastAsia="Arial" w:hAnsi="Arial"/>
                <w:sz w:val="18"/>
                <w:szCs w:val="18"/>
                <w:b w:val="1"/>
                <w:bCs w:val="1"/>
                <w:color w:val="auto"/>
              </w:rPr>
              <w:t>1Q 2026 vs. 4Q 2025</w:t>
            </w:r>
          </w:p>
        </w:tc>
      </w:tr>
      <w:tr>
        <w:trPr>
          <w:trHeight w:val="129"/>
        </w:trPr>
        <w:tc>
          <w:tcPr>
            <w:tcW w:w="6180" w:type="dxa"/>
            <w:vAlign w:val="bottom"/>
          </w:tcPr>
          <w:p>
            <w:pPr>
              <w:spacing w:after="0"/>
              <w:rPr>
                <w:sz w:val="11"/>
                <w:szCs w:val="11"/>
                <w:color w:val="auto"/>
              </w:rPr>
            </w:pPr>
          </w:p>
        </w:tc>
        <w:tc>
          <w:tcPr>
            <w:tcW w:w="24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420" w:type="dxa"/>
            <w:vAlign w:val="bottom"/>
            <w:tcBorders>
              <w:top w:val="single" w:sz="8" w:color="auto"/>
            </w:tcBorders>
          </w:tcPr>
          <w:p>
            <w:pPr>
              <w:spacing w:after="0"/>
              <w:rPr>
                <w:sz w:val="11"/>
                <w:szCs w:val="11"/>
                <w:color w:val="auto"/>
              </w:rPr>
            </w:pPr>
          </w:p>
        </w:tc>
      </w:tr>
      <w:tr>
        <w:trPr>
          <w:trHeight w:val="229"/>
        </w:trPr>
        <w:tc>
          <w:tcPr>
            <w:tcW w:w="61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Average Net Selling Prices</w:t>
            </w:r>
          </w:p>
        </w:tc>
        <w:tc>
          <w:tcPr>
            <w:tcW w:w="2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r>
      <w:tr>
        <w:trPr>
          <w:trHeight w:val="230"/>
        </w:trPr>
        <w:tc>
          <w:tcPr>
            <w:tcW w:w="6180" w:type="dxa"/>
            <w:vAlign w:val="bottom"/>
          </w:tcPr>
          <w:p>
            <w:pPr>
              <w:ind w:left="220"/>
              <w:spacing w:after="0"/>
              <w:rPr>
                <w:sz w:val="20"/>
                <w:szCs w:val="20"/>
                <w:color w:val="auto"/>
              </w:rPr>
            </w:pPr>
            <w:r>
              <w:rPr>
                <w:rFonts w:ascii="Arial" w:cs="Arial" w:eastAsia="Arial" w:hAnsi="Arial"/>
                <w:sz w:val="18"/>
                <w:szCs w:val="18"/>
                <w:color w:val="auto"/>
              </w:rPr>
              <w:t>LVL</w:t>
            </w:r>
          </w:p>
        </w:tc>
        <w:tc>
          <w:tcPr>
            <w:tcW w:w="2400" w:type="dxa"/>
            <w:vAlign w:val="bottom"/>
          </w:tcPr>
          <w:p>
            <w:pPr>
              <w:jc w:val="right"/>
              <w:ind w:right="93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I-joists</w:t>
            </w:r>
          </w:p>
        </w:tc>
        <w:tc>
          <w:tcPr>
            <w:tcW w:w="240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9"/>
                <w:szCs w:val="19"/>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30"/>
        </w:trPr>
        <w:tc>
          <w:tcPr>
            <w:tcW w:w="6180" w:type="dxa"/>
            <w:vAlign w:val="bottom"/>
          </w:tcPr>
          <w:p>
            <w:pPr>
              <w:ind w:left="220"/>
              <w:spacing w:after="0"/>
              <w:rPr>
                <w:sz w:val="20"/>
                <w:szCs w:val="20"/>
                <w:color w:val="auto"/>
              </w:rPr>
            </w:pPr>
            <w:r>
              <w:rPr>
                <w:rFonts w:ascii="Arial" w:cs="Arial" w:eastAsia="Arial" w:hAnsi="Arial"/>
                <w:sz w:val="18"/>
                <w:szCs w:val="18"/>
                <w:color w:val="auto"/>
              </w:rPr>
              <w:t>Plywood</w:t>
            </w:r>
          </w:p>
        </w:tc>
        <w:tc>
          <w:tcPr>
            <w:tcW w:w="2400" w:type="dxa"/>
            <w:vAlign w:val="bottom"/>
          </w:tcPr>
          <w:p>
            <w:pPr>
              <w:jc w:val="right"/>
              <w:ind w:right="99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229"/>
        </w:trPr>
        <w:tc>
          <w:tcPr>
            <w:tcW w:w="61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Sales Volumes</w:t>
            </w:r>
          </w:p>
        </w:tc>
        <w:tc>
          <w:tcPr>
            <w:tcW w:w="2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r>
      <w:tr>
        <w:trPr>
          <w:trHeight w:val="230"/>
        </w:trPr>
        <w:tc>
          <w:tcPr>
            <w:tcW w:w="6180" w:type="dxa"/>
            <w:vAlign w:val="bottom"/>
          </w:tcPr>
          <w:p>
            <w:pPr>
              <w:ind w:left="220"/>
              <w:spacing w:after="0"/>
              <w:rPr>
                <w:sz w:val="20"/>
                <w:szCs w:val="20"/>
                <w:color w:val="auto"/>
              </w:rPr>
            </w:pPr>
            <w:r>
              <w:rPr>
                <w:rFonts w:ascii="Arial" w:cs="Arial" w:eastAsia="Arial" w:hAnsi="Arial"/>
                <w:sz w:val="18"/>
                <w:szCs w:val="18"/>
                <w:color w:val="auto"/>
              </w:rPr>
              <w:t>LVL</w:t>
            </w:r>
          </w:p>
        </w:tc>
        <w:tc>
          <w:tcPr>
            <w:tcW w:w="2400" w:type="dxa"/>
            <w:vAlign w:val="bottom"/>
          </w:tcPr>
          <w:p>
            <w:pPr>
              <w:jc w:val="right"/>
              <w:ind w:right="93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9"/>
              </w:rPr>
              <w:t>8%</w:t>
            </w:r>
          </w:p>
        </w:tc>
      </w:tr>
      <w:tr>
        <w:trPr>
          <w:trHeight w:val="230"/>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I-joists</w:t>
            </w:r>
          </w:p>
        </w:tc>
        <w:tc>
          <w:tcPr>
            <w:tcW w:w="240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9"/>
                <w:szCs w:val="19"/>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16%</w:t>
            </w:r>
          </w:p>
        </w:tc>
      </w:tr>
      <w:tr>
        <w:trPr>
          <w:trHeight w:val="239"/>
        </w:trPr>
        <w:tc>
          <w:tcPr>
            <w:tcW w:w="6180" w:type="dxa"/>
            <w:vAlign w:val="bottom"/>
          </w:tcPr>
          <w:p>
            <w:pPr>
              <w:ind w:left="220"/>
              <w:spacing w:after="0"/>
              <w:rPr>
                <w:sz w:val="20"/>
                <w:szCs w:val="20"/>
                <w:color w:val="auto"/>
              </w:rPr>
            </w:pPr>
            <w:r>
              <w:rPr>
                <w:rFonts w:ascii="Arial" w:cs="Arial" w:eastAsia="Arial" w:hAnsi="Arial"/>
                <w:sz w:val="18"/>
                <w:szCs w:val="18"/>
                <w:color w:val="auto"/>
              </w:rPr>
              <w:t>Plywood</w:t>
            </w:r>
          </w:p>
        </w:tc>
        <w:tc>
          <w:tcPr>
            <w:tcW w:w="2400" w:type="dxa"/>
            <w:vAlign w:val="bottom"/>
          </w:tcPr>
          <w:p>
            <w:pPr>
              <w:jc w:val="right"/>
              <w:ind w:right="99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9"/>
              </w:rPr>
              <w:t>5%</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Liquidity</w:t>
      </w:r>
    </w:p>
    <w:p>
      <w:pPr>
        <w:spacing w:after="0" w:line="252" w:lineRule="exact"/>
        <w:rPr>
          <w:sz w:val="20"/>
          <w:szCs w:val="20"/>
          <w:color w:val="auto"/>
        </w:rPr>
      </w:pPr>
    </w:p>
    <w:p>
      <w:pPr>
        <w:ind w:right="180" w:firstLine="648"/>
        <w:spacing w:after="0" w:line="287" w:lineRule="auto"/>
        <w:rPr>
          <w:sz w:val="20"/>
          <w:szCs w:val="20"/>
          <w:color w:val="auto"/>
        </w:rPr>
      </w:pPr>
      <w:r>
        <w:rPr>
          <w:rFonts w:ascii="Arial" w:cs="Arial" w:eastAsia="Arial" w:hAnsi="Arial"/>
          <w:sz w:val="18"/>
          <w:szCs w:val="18"/>
          <w:color w:val="auto"/>
        </w:rPr>
        <w:t>Boise Cascade ended first quarter 2026 with $338.7 million of cash and cash equivalents and $395.1 million of undrawn committed bank line availability, for total available liquidity of $733.8 million. The Company had $452.5 million of outstanding debt at March 31, 2026.</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3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Capital Allocation</w:t>
      </w:r>
    </w:p>
    <w:p>
      <w:pPr>
        <w:spacing w:after="0" w:line="252" w:lineRule="exact"/>
        <w:rPr>
          <w:sz w:val="20"/>
          <w:szCs w:val="20"/>
          <w:color w:val="auto"/>
        </w:rPr>
      </w:pPr>
    </w:p>
    <w:p>
      <w:pPr>
        <w:ind w:right="100" w:firstLine="648"/>
        <w:spacing w:after="0" w:line="262" w:lineRule="auto"/>
        <w:rPr>
          <w:sz w:val="20"/>
          <w:szCs w:val="20"/>
          <w:color w:val="auto"/>
        </w:rPr>
      </w:pPr>
      <w:r>
        <w:rPr>
          <w:rFonts w:ascii="Arial" w:cs="Arial" w:eastAsia="Arial" w:hAnsi="Arial"/>
          <w:sz w:val="18"/>
          <w:szCs w:val="18"/>
          <w:color w:val="auto"/>
        </w:rPr>
        <w:t>We expect capital expenditures in 2026, excluding potential acquisition spending, to total approximately $150 million to $170 million. This level of capital expenditures could increase or decrease as a result of several factors, including efforts to further accelerate organic growth, exercise of lease purchase options, our financial results, future economic conditions, availability of engineering and construction resources, and timing and availability of equipment purchases.</w:t>
      </w:r>
    </w:p>
    <w:p>
      <w:pPr>
        <w:spacing w:after="0" w:line="203" w:lineRule="exact"/>
        <w:rPr>
          <w:sz w:val="20"/>
          <w:szCs w:val="20"/>
          <w:color w:val="auto"/>
        </w:rPr>
      </w:pPr>
    </w:p>
    <w:p>
      <w:pPr>
        <w:ind w:right="380" w:firstLine="648"/>
        <w:spacing w:after="0" w:line="268" w:lineRule="auto"/>
        <w:rPr>
          <w:sz w:val="20"/>
          <w:szCs w:val="20"/>
          <w:color w:val="auto"/>
        </w:rPr>
      </w:pPr>
      <w:r>
        <w:rPr>
          <w:rFonts w:ascii="Arial" w:cs="Arial" w:eastAsia="Arial" w:hAnsi="Arial"/>
          <w:sz w:val="18"/>
          <w:szCs w:val="18"/>
          <w:color w:val="auto"/>
        </w:rPr>
        <w:t>For the three months ended March 31, 2026, the Company paid $ 10.4 million in common stock dividends. On April 30, 2026, our board of directors declared a quarterly dividend of $0.22 per share on our common stock, payable on June 17, 2026, to stockholders of record on June 1, 2026.</w:t>
      </w:r>
    </w:p>
    <w:p>
      <w:pPr>
        <w:spacing w:after="0" w:line="198" w:lineRule="exact"/>
        <w:rPr>
          <w:sz w:val="20"/>
          <w:szCs w:val="20"/>
          <w:color w:val="auto"/>
        </w:rPr>
      </w:pPr>
    </w:p>
    <w:p>
      <w:pPr>
        <w:ind w:right="620" w:firstLine="648"/>
        <w:spacing w:after="0" w:line="262" w:lineRule="auto"/>
        <w:rPr>
          <w:sz w:val="20"/>
          <w:szCs w:val="20"/>
          <w:color w:val="auto"/>
        </w:rPr>
      </w:pPr>
      <w:r>
        <w:rPr>
          <w:rFonts w:ascii="Arial" w:cs="Arial" w:eastAsia="Arial" w:hAnsi="Arial"/>
          <w:sz w:val="18"/>
          <w:szCs w:val="18"/>
          <w:color w:val="auto"/>
        </w:rPr>
        <w:t>For the three months ended March 31, 2026, the Company paid $65.5 million for the repurchase of 830,751 shares of our outstanding common stock. In April 2026, the Company repurchased an additional 312,894 shares of our common stock at a cost of approximately $25 million. Subsequent to these share repurchases, approximately $148 million of our outstanding common stock was available for repurchase under our existing share repurchase program.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5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Demand for the products we purchase and distribute, as well as the products we manufacture, is closely tied to new residential construction, residential repair-and-remodeling activity, and light commercial construction. Residential construction, particularly new single-family construction, remains a key demand driver for the products we distribute and manufacture. The operating environment during the first quarter of 2026 presented a mix of opportunities and challenges. For much of the quarter, mortgage rates declined to their lowest levels in over three years. However, recent geopolitical turmoil has led to volatility in treasury and mortgage rates alike, casting unpredictability on the remainder of the spring selling season. Consumer sentiment and home affordability challenges persist as the most prominent headwinds to residential construction activity. In addition, home builders are responding to the cautious demand environment with thoughtful approaches to starts, home sizes, location, and inventory. Long-term demand drivers for residential construction, including generational tailwinds and an undersupply of housing units, remain strong, while elevated levels of homeowner equity and an aging U.S. housing stock support robust repair-and-remodel spending and reinforce the industry’s solid fundamentals.</w:t>
      </w:r>
    </w:p>
    <w:p>
      <w:pPr>
        <w:spacing w:after="0" w:line="21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distribution business, which purchases and resells a diverse range of products, experiences opportunities for increased sales and margins during periods of rising prices, while periods of declining prices may present challenges. Future product pricing, particularly for commodity products we distribute and manufacture, is expected to remain dynamic, influenced by economic and geopolitical conditions, input costs, industry operating rates, supply disruptions, duties, tariffs, cost and availability of transportation, inventory levels, and seasonal demand patterns. We will continue to monitor end market demand signals and align production rates and inventory stocking positions accordingly.</w:t>
      </w:r>
    </w:p>
    <w:p>
      <w:pPr>
        <w:spacing w:after="0" w:line="209" w:lineRule="exact"/>
        <w:rPr>
          <w:sz w:val="20"/>
          <w:szCs w:val="20"/>
          <w:color w:val="auto"/>
        </w:rPr>
      </w:pPr>
    </w:p>
    <w:p>
      <w:pPr>
        <w:ind w:right="120" w:firstLine="648"/>
        <w:spacing w:after="0" w:line="268" w:lineRule="auto"/>
        <w:rPr>
          <w:sz w:val="20"/>
          <w:szCs w:val="20"/>
          <w:color w:val="auto"/>
        </w:rPr>
      </w:pPr>
      <w:r>
        <w:rPr>
          <w:rFonts w:ascii="Arial" w:cs="Arial" w:eastAsia="Arial" w:hAnsi="Arial"/>
          <w:sz w:val="18"/>
          <w:szCs w:val="18"/>
          <w:color w:val="auto"/>
        </w:rPr>
        <w:t>We are providing financial guidance for second quarter 2026 as set forth in the table below. Guidance is based on current plans and expectations and is subject to a number of known and unknown uncertainties and risks, including those set forth below under “Forward-Looking Statements.”</w:t>
      </w:r>
    </w:p>
    <w:p>
      <w:pPr>
        <w:spacing w:after="0" w:line="238"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Second Quarter 2026 Guidance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BMD EBITDA</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$80 million</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Wood Products EBITDA</w:t>
            </w:r>
          </w:p>
        </w:tc>
        <w:tc>
          <w:tcPr>
            <w:tcW w:w="1720" w:type="dxa"/>
            <w:vAlign w:val="bottom"/>
          </w:tcPr>
          <w:p>
            <w:pPr>
              <w:jc w:val="right"/>
              <w:spacing w:after="0"/>
              <w:rPr>
                <w:sz w:val="20"/>
                <w:szCs w:val="20"/>
                <w:color w:val="auto"/>
              </w:rPr>
            </w:pPr>
            <w:r>
              <w:rPr>
                <w:rFonts w:ascii="Arial" w:cs="Arial" w:eastAsia="Arial" w:hAnsi="Arial"/>
                <w:sz w:val="18"/>
                <w:szCs w:val="18"/>
                <w:color w:val="auto"/>
              </w:rPr>
              <w:t>~$32</w:t>
            </w:r>
          </w:p>
        </w:tc>
        <w:tc>
          <w:tcPr>
            <w:tcW w:w="2280" w:type="dxa"/>
            <w:vAlign w:val="bottom"/>
          </w:tcPr>
          <w:p>
            <w:pPr>
              <w:ind w:left="20"/>
              <w:spacing w:after="0"/>
              <w:rPr>
                <w:sz w:val="20"/>
                <w:szCs w:val="20"/>
                <w:color w:val="auto"/>
              </w:rPr>
            </w:pPr>
            <w:r>
              <w:rPr>
                <w:rFonts w:ascii="Arial" w:cs="Arial" w:eastAsia="Arial" w:hAnsi="Arial"/>
                <w:sz w:val="18"/>
                <w:szCs w:val="18"/>
                <w:color w:val="auto"/>
              </w:rPr>
              <w:t>- $47 million</w:t>
            </w: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Corporate Costs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($12) million</w:t>
            </w:r>
          </w:p>
        </w:tc>
      </w:tr>
      <w:tr>
        <w:trPr>
          <w:trHeight w:val="239"/>
        </w:trPr>
        <w:tc>
          <w:tcPr>
            <w:tcW w:w="7240" w:type="dxa"/>
            <w:vAlign w:val="bottom"/>
          </w:tcPr>
          <w:p>
            <w:pPr>
              <w:ind w:left="20"/>
              <w:spacing w:after="0"/>
              <w:rPr>
                <w:sz w:val="20"/>
                <w:szCs w:val="20"/>
                <w:color w:val="auto"/>
              </w:rPr>
            </w:pPr>
            <w:r>
              <w:rPr>
                <w:rFonts w:ascii="Arial" w:cs="Arial" w:eastAsia="Arial" w:hAnsi="Arial"/>
                <w:sz w:val="18"/>
                <w:szCs w:val="18"/>
                <w:color w:val="auto"/>
              </w:rPr>
              <w:t>Total Company Adjusted EBITDA</w:t>
            </w:r>
          </w:p>
        </w:tc>
        <w:tc>
          <w:tcPr>
            <w:tcW w:w="4000" w:type="dxa"/>
            <w:vAlign w:val="bottom"/>
            <w:gridSpan w:val="2"/>
          </w:tcPr>
          <w:p>
            <w:pPr>
              <w:ind w:left="1240"/>
              <w:spacing w:after="0"/>
              <w:rPr>
                <w:sz w:val="20"/>
                <w:szCs w:val="20"/>
                <w:color w:val="auto"/>
              </w:rPr>
            </w:pPr>
            <w:r>
              <w:rPr>
                <w:rFonts w:ascii="Arial" w:cs="Arial" w:eastAsia="Arial" w:hAnsi="Arial"/>
                <w:sz w:val="18"/>
                <w:szCs w:val="18"/>
                <w:color w:val="auto"/>
              </w:rPr>
              <w:t>~$83 - $115 million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93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About Boise Cascade</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Boise Cascade is one of the largest U.S. wholesale distributors of building materials and a leading manufacturer of engineered wood products and plywood in North America. Our integrated model and national distribution footprint position us to deliver outstanding service to our customers across a broad range of industry-leading products, including key structural products that we produce. Headquartered in Boise, Idaho, we operate more than 60 distribution and manufacturing facilities strategically located across the U.S. and Canada. Our work is powered by a dedicated team of over 7,500 people. Learn more at www.bc.com.</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and Conference Call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Boise Cascade will host a webcast and conference call to discuss first quarter earnings on Tuesday, May 5, 2026, at 11 a.m.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Eastern.</w:t>
      </w:r>
    </w:p>
    <w:p>
      <w:pPr>
        <w:spacing w:after="0" w:line="234" w:lineRule="exact"/>
        <w:rPr>
          <w:sz w:val="20"/>
          <w:szCs w:val="20"/>
          <w:color w:val="auto"/>
        </w:rPr>
      </w:pPr>
    </w:p>
    <w:p>
      <w:pPr>
        <w:ind w:right="80" w:firstLine="648"/>
        <w:spacing w:after="0" w:line="287" w:lineRule="auto"/>
        <w:rPr>
          <w:sz w:val="20"/>
          <w:szCs w:val="20"/>
          <w:color w:val="auto"/>
        </w:rPr>
      </w:pPr>
      <w:r>
        <w:rPr>
          <w:rFonts w:ascii="Arial" w:cs="Arial" w:eastAsia="Arial" w:hAnsi="Arial"/>
          <w:sz w:val="18"/>
          <w:szCs w:val="18"/>
          <w:color w:val="auto"/>
        </w:rPr>
        <w:t>To join the webcast, go to the Investors section of our website at www.bc.com/investors and select the Event Calendar link. Analysts and investors who wish to ask questions during the Q&amp;A session can register for the call here.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archived webcast will be available in the Investors section of Boise Cascade's website.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refer to the terms EBITDA, Adjusted EBITDA and Segment EBITDA in this earnings release and the accompanying Quarterly Statistical Information as supplemental measures of our performance and liquidity that are not required by or presented in accordance with generally accepted accounting principles in the United States (GAAP). We define EBITDA as income before interest (interest expense and interest income), income taxes, and depreciation and amortization. Additionally, we disclose Adjusted EBITDA, which further adjusts EBITDA to exclude the change in fair value of interest rate swaps. We also disclose Segment EBITDA, which is segment income (loss) before depreciation and amortization.</w:t>
      </w:r>
    </w:p>
    <w:p>
      <w:pPr>
        <w:spacing w:after="0" w:line="20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believe EBITDA, Adjusted EBITDA and Segment EBITDA are meaningful measures because they present a transparent view of our recurring operating performance and allow management to readily view operating trends, perform analytical comparisons, and identify strategies to improve operating performance. We also believe EBITDA, Adjusted EBITDA and Segment EBITDA are useful to investors because they provide a means to evaluate the operating performance of our segments and our Company on an ongoing basis using criteria that are used by our management and because they are frequently used by investors and other interested parties when comparing companies in our industry that have different financing and capital structures and/or tax rates. EBITDA, Adjusted EBITDA and Segment EBITDA, however, are not measures of our liquidity or financial performance under GAAP and should not be considered as alternatives to net income, income from operations, or any other performance measure derived in accordance with GAAP or as alternatives to cash flow from operating activities as a measure of our liquidity. The use of EBITDA, Adjusted EBITDA and Segment EBITDA instead of net income or segment income (loss) have limitations as analytical tools, including: the inability to determine profitability; the exclusion of interest expense, interest income, and associated significant cash requirements; and the exclusion of depreciation and amortization, which represent unavoidable operating costs. Management compensates for these limitations by relying on our GAAP results. Our measures of EBITDA, Adjusted EBITDA and Segment EBITDA are not necessarily comparable to other similarly titled captions of other companies due to potential inconsistencies in the methods of calculation. For a reconciliation of net income to EBITDA and Adjusted EBITDA and segment income (loss) to Segment EBITDA, please see the section titled, "Summary Notes to Consolidated Financial Statements and Segment Information"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93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This press release contains statements concerning future events and expectations, including, without limitation, statements relating to our outlook. These statements constitute forward-looking statements within the meaning of the Private Securities Litigation Reform Act of 1995. Any statements that express, or involve discussions as to, expectations, beliefs, plans, objectives, assumptions, or future events or performance, often, but not always, through the use of words or phrases such as "anticipates," "believes," "could," "estimates," "expects," "intends," “outlook,” "potential," "plans," "predicts," "preliminary," "projects," "targets," "may," "may result," or similar expressions, are not statements of historical facts and may be forward-looking. Forward-looking statements are not guarantees of future performance, involve estimates, assumptions, risks, and uncertainties, and may differ materially from actual results, performance, or outcomes. Factors that could cause actual results or outcomes to differ materially from those contained in forward-looking statements include those factors set forth in Boise Cascade’s most recent Annual Report on Form 10-K, subsequent reports filed by Boise Cascade with the Securities and Exchange</w:t>
      </w:r>
    </w:p>
    <w:p>
      <w:pPr>
        <w:spacing w:after="0" w:line="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Commission (SEC), and the following important factors: the commodity nature of a portion of our products and their price movements, which are driven largely by general economic conditions, industry capacity and operating rates, industry cycles that affect supply and demand, and net import and export activity; the highly competitive nature of our industry; declines in demand for our products due to competing technologies or materials, as well as changes in building code provisions; disruptions to information systems used to process and store customer, employee, and vendor information, as well as the technology that manages our operations and other business processes; material disruptions and/or major equipment failure at our manufacturing facilities; declining demand for residual byproducts, particularly wood chips generated in our manufacturing operations; labor disruptions, shortages of skilled and technical labor, or increased labor costs; product shortages, loss of key suppliers, and our dependence on third-party suppliers and manufacturers; the cost and availability of third-party transportation services used to deliver the goods we distribute and manufacture, as well as our raw materials; cost and availability of raw materials, particularly wood fiber; the need to successfully formulate and implement succession plans for key members of our management team; our ability to execute our organic growth and acquisition strategies efficiently and effectively; failures or delays with new or existing technology systems and software platforms; our ability to successfully pursue our long-term growth strategy related to innovation and digital technology; concentration of our sales among a relatively small group of customers, as well as the financial condition and creditworthiness of our customers; impairment of our long-lived assets, goodwill, and/or intangible assets; substantial ongoing capital investment costs, including those associated with organic growth and acquisitions, and the difficulty in offsetting fixed costs related to those investments; our indebtedness, including the possibility that we may not generate sufficient cash flows from operations or that future borrowings may not be available in amounts sufficient to fulfill our debt obligations and fund other liquidity needs; restrictive covenants contained in our debt agreements; changes in or failure to comply with laws and regulations; changes in foreign trade policy, including the imposition of tariffs; compliance with data privacy and security laws and regulations; the impacts of climate change and related legislative and regulatory responses intended to reduce climate change; cost of compliance with government regulations, in particular, environmental regulations; exposure to product liability, product warranty, casualty, construction defect, and other claims; and fluctuations in the market for our equity.</w:t>
      </w:r>
    </w:p>
    <w:p>
      <w:pPr>
        <w:spacing w:after="0" w:line="21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It is not possible to predict or identify all risks and uncertainties that might affect the accuracy of our forward-looking statements and, consequently, our descriptions of such risks and uncertainties should not be considered exhaustive. There is no guarantee that any of the events anticipated by these forward-looking statements will occur, and if any of the events do occur, there is no guarantee what effect they will have on the company's business, results of operations, cash flows, financial condition and future prospects. Forward-looking statements speak only as of the date they are made, and, except as required by law, we undertake no obligation to publicly update or revise any forward-looking statements, whether because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93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Boise Cascade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Operations</w:t>
      </w:r>
    </w:p>
    <w:p>
      <w:pPr>
        <w:jc w:val="center"/>
        <w:spacing w:after="0"/>
        <w:rPr>
          <w:sz w:val="20"/>
          <w:szCs w:val="20"/>
          <w:color w:val="auto"/>
        </w:rPr>
      </w:pPr>
      <w:r>
        <w:rPr>
          <w:rFonts w:ascii="Arial" w:cs="Arial" w:eastAsia="Arial" w:hAnsi="Arial"/>
          <w:sz w:val="18"/>
          <w:szCs w:val="18"/>
          <w:color w:val="auto"/>
        </w:rPr>
        <w:t>(in thousands, except per-share data) (unaudited)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8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ind w:right="1230"/>
              <w:spacing w:after="0"/>
              <w:rPr>
                <w:sz w:val="20"/>
                <w:szCs w:val="20"/>
                <w:color w:val="auto"/>
              </w:rPr>
            </w:pPr>
            <w:r>
              <w:rPr>
                <w:rFonts w:ascii="Arial" w:cs="Arial" w:eastAsia="Arial" w:hAnsi="Arial"/>
                <w:sz w:val="18"/>
                <w:szCs w:val="18"/>
                <w:b w:val="1"/>
                <w:bCs w:val="1"/>
                <w:color w:val="auto"/>
                <w:w w:val="98"/>
              </w:rPr>
              <w:t>Three Months Ended</w:t>
            </w:r>
          </w:p>
        </w:tc>
      </w:tr>
      <w:tr>
        <w:trPr>
          <w:trHeight w:val="250"/>
        </w:trPr>
        <w:tc>
          <w:tcPr>
            <w:tcW w:w="68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31,</w:t>
            </w:r>
          </w:p>
        </w:tc>
      </w:tr>
      <w:tr>
        <w:trPr>
          <w:trHeight w:val="250"/>
        </w:trPr>
        <w:tc>
          <w:tcPr>
            <w:tcW w:w="68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2026</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r>
      <w:tr>
        <w:trPr>
          <w:trHeight w:val="250"/>
        </w:trPr>
        <w:tc>
          <w:tcPr>
            <w:tcW w:w="6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1,498,614</w:t>
            </w:r>
          </w:p>
        </w:tc>
        <w:tc>
          <w:tcPr>
            <w:tcW w:w="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1,536,494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1,460,181</w:t>
            </w:r>
          </w:p>
        </w:tc>
      </w:tr>
      <w:tr>
        <w:trPr>
          <w:trHeight w:val="270"/>
        </w:trPr>
        <w:tc>
          <w:tcPr>
            <w:tcW w:w="6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29"/>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6840" w:type="dxa"/>
            <w:vAlign w:val="bottom"/>
          </w:tcPr>
          <w:p>
            <w:pPr>
              <w:ind w:left="20"/>
              <w:spacing w:after="0"/>
              <w:rPr>
                <w:sz w:val="20"/>
                <w:szCs w:val="20"/>
                <w:color w:val="auto"/>
              </w:rPr>
            </w:pPr>
            <w:r>
              <w:rPr>
                <w:rFonts w:ascii="Arial" w:cs="Arial" w:eastAsia="Arial" w:hAnsi="Arial"/>
                <w:sz w:val="18"/>
                <w:szCs w:val="18"/>
                <w:color w:val="auto"/>
              </w:rPr>
              <w:t>Materials, labor, and other operating expenses (excluding depreciation)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1,255,070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1,276,183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1,228,749</w:t>
            </w: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41,313</w:t>
            </w:r>
          </w:p>
        </w:tc>
      </w:tr>
      <w:tr>
        <w:trPr>
          <w:trHeight w:val="229"/>
        </w:trPr>
        <w:tc>
          <w:tcPr>
            <w:tcW w:w="6840" w:type="dxa"/>
            <w:vAlign w:val="bottom"/>
          </w:tcPr>
          <w:p>
            <w:pPr>
              <w:ind w:left="20"/>
              <w:spacing w:after="0"/>
              <w:rPr>
                <w:sz w:val="20"/>
                <w:szCs w:val="20"/>
                <w:color w:val="auto"/>
              </w:rPr>
            </w:pPr>
            <w:r>
              <w:rPr>
                <w:rFonts w:ascii="Arial" w:cs="Arial" w:eastAsia="Arial" w:hAnsi="Arial"/>
                <w:sz w:val="18"/>
                <w:szCs w:val="18"/>
                <w:color w:val="auto"/>
              </w:rPr>
              <w:t>Selling and distribution expenses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150,444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143,648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145,719</w:t>
            </w: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22,466</w:t>
            </w:r>
          </w:p>
        </w:tc>
      </w:tr>
      <w:tr>
        <w:trPr>
          <w:trHeight w:val="229"/>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5,983</w:t>
            </w:r>
          </w:p>
        </w:tc>
      </w:tr>
      <w:tr>
        <w:trPr>
          <w:trHeight w:val="223"/>
        </w:trPr>
        <w:tc>
          <w:tcPr>
            <w:tcW w:w="68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1,470,829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1,481,975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1,444,230</w:t>
            </w:r>
          </w:p>
        </w:tc>
      </w:tr>
      <w:tr>
        <w:trPr>
          <w:trHeight w:val="250"/>
        </w:trPr>
        <w:tc>
          <w:tcPr>
            <w:tcW w:w="6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29"/>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27,785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54,519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15,951</w:t>
            </w:r>
          </w:p>
        </w:tc>
      </w:tr>
      <w:tr>
        <w:trPr>
          <w:trHeight w:val="250"/>
        </w:trPr>
        <w:tc>
          <w:tcPr>
            <w:tcW w:w="6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29"/>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loss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Pension expense (excluding service costs)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(6,024)</w:t>
            </w: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2,937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4,452</w:t>
            </w: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interest rate swaps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8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w:t>
            </w:r>
          </w:p>
        </w:tc>
      </w:tr>
      <w:tr>
        <w:trPr>
          <w:trHeight w:val="250"/>
        </w:trPr>
        <w:tc>
          <w:tcPr>
            <w:tcW w:w="6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29"/>
        </w:trPr>
        <w:tc>
          <w:tcPr>
            <w:tcW w:w="684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24,432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54,194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14,306</w:t>
            </w: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(5,572)</w:t>
            </w:r>
          </w:p>
        </w:tc>
      </w:tr>
      <w:tr>
        <w:trPr>
          <w:trHeight w:val="223"/>
        </w:trPr>
        <w:tc>
          <w:tcPr>
            <w:tcW w:w="68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17,842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40,348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8,734</w:t>
            </w: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7"/>
        </w:trPr>
        <w:tc>
          <w:tcPr>
            <w:tcW w:w="6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36,823</w:t>
            </w:r>
          </w:p>
        </w:tc>
      </w:tr>
      <w:tr>
        <w:trPr>
          <w:trHeight w:val="229"/>
        </w:trPr>
        <w:tc>
          <w:tcPr>
            <w:tcW w:w="6840" w:type="dxa"/>
            <w:vAlign w:val="bottom"/>
          </w:tcPr>
          <w:p>
            <w:pPr>
              <w:ind w:left="12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38,215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36,972</w:t>
            </w:r>
          </w:p>
        </w:tc>
      </w:tr>
      <w:tr>
        <w:trPr>
          <w:trHeight w:val="270"/>
        </w:trPr>
        <w:tc>
          <w:tcPr>
            <w:tcW w:w="68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Net income per common share:</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50"/>
        </w:trPr>
        <w:tc>
          <w:tcPr>
            <w:tcW w:w="6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r>
      <w:tr>
        <w:trPr>
          <w:trHeight w:val="20"/>
        </w:trPr>
        <w:tc>
          <w:tcPr>
            <w:tcW w:w="6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3"/>
        </w:trPr>
        <w:tc>
          <w:tcPr>
            <w:tcW w:w="6840" w:type="dxa"/>
            <w:vAlign w:val="bottom"/>
          </w:tcPr>
          <w:p>
            <w:pPr>
              <w:ind w:left="120"/>
              <w:spacing w:after="0" w:line="203" w:lineRule="exact"/>
              <w:rPr>
                <w:sz w:val="20"/>
                <w:szCs w:val="20"/>
                <w:color w:val="auto"/>
              </w:rPr>
            </w:pPr>
            <w:r>
              <w:rPr>
                <w:rFonts w:ascii="Arial" w:cs="Arial" w:eastAsia="Arial" w:hAnsi="Arial"/>
                <w:sz w:val="18"/>
                <w:szCs w:val="18"/>
                <w:color w:val="auto"/>
              </w:rPr>
              <w:t>Diluted</w:t>
            </w:r>
          </w:p>
        </w:tc>
        <w:tc>
          <w:tcPr>
            <w:tcW w:w="28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0.50</w:t>
            </w:r>
          </w:p>
        </w:tc>
        <w:tc>
          <w:tcPr>
            <w:tcW w:w="12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0.24</w:t>
            </w: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7"/>
        </w:trPr>
        <w:tc>
          <w:tcPr>
            <w:tcW w:w="6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Dividends declared per common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0.22</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0.22</w:t>
            </w:r>
          </w:p>
        </w:tc>
      </w:tr>
      <w:tr>
        <w:trPr>
          <w:trHeight w:val="20"/>
        </w:trPr>
        <w:tc>
          <w:tcPr>
            <w:tcW w:w="6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93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Building Materials Distribution Segment</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Statements of Operations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percentages) (unaudited)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1260" w:type="dxa"/>
            <w:vAlign w:val="bottom"/>
            <w:tcBorders>
              <w:bottom w:val="single" w:sz="8" w:color="auto"/>
            </w:tcBorders>
          </w:tcPr>
          <w:p>
            <w:pPr>
              <w:spacing w:after="0"/>
              <w:rPr>
                <w:sz w:val="20"/>
                <w:szCs w:val="20"/>
                <w:color w:val="auto"/>
              </w:rPr>
            </w:pPr>
          </w:p>
        </w:tc>
      </w:tr>
      <w:tr>
        <w:trPr>
          <w:trHeight w:val="250"/>
        </w:trPr>
        <w:tc>
          <w:tcPr>
            <w:tcW w:w="65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65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2026</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1"/>
                <w:szCs w:val="21"/>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 2025</w:t>
            </w:r>
          </w:p>
        </w:tc>
      </w:tr>
      <w:tr>
        <w:trPr>
          <w:trHeight w:val="250"/>
        </w:trPr>
        <w:tc>
          <w:tcPr>
            <w:tcW w:w="6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1,388,948</w:t>
            </w:r>
          </w:p>
        </w:tc>
        <w:tc>
          <w:tcPr>
            <w:tcW w:w="4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1,407,116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1,363,116</w:t>
            </w:r>
          </w:p>
        </w:tc>
      </w:tr>
      <w:tr>
        <w:trPr>
          <w:trHeight w:val="270"/>
        </w:trPr>
        <w:tc>
          <w:tcPr>
            <w:tcW w:w="6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Materials, labor, and other operating expenses (excluding depreciation)</w:t>
            </w:r>
          </w:p>
        </w:tc>
        <w:tc>
          <w:tcPr>
            <w:tcW w:w="24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1,189,236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w w:val="99"/>
              </w:rPr>
              <w:t>1,200,940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1,157,607</w:t>
            </w: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15,283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14,362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14,967</w:t>
            </w:r>
          </w:p>
        </w:tc>
      </w:tr>
      <w:tr>
        <w:trPr>
          <w:trHeight w:val="229"/>
        </w:trPr>
        <w:tc>
          <w:tcPr>
            <w:tcW w:w="6500" w:type="dxa"/>
            <w:vAlign w:val="bottom"/>
          </w:tcPr>
          <w:p>
            <w:pPr>
              <w:ind w:left="20"/>
              <w:spacing w:after="0"/>
              <w:rPr>
                <w:sz w:val="20"/>
                <w:szCs w:val="20"/>
                <w:color w:val="auto"/>
              </w:rPr>
            </w:pPr>
            <w:r>
              <w:rPr>
                <w:rFonts w:ascii="Arial" w:cs="Arial" w:eastAsia="Arial" w:hAnsi="Arial"/>
                <w:sz w:val="18"/>
                <w:szCs w:val="18"/>
                <w:color w:val="auto"/>
              </w:rPr>
              <w:t>Selling and distribution expenses</w:t>
            </w:r>
          </w:p>
        </w:tc>
        <w:tc>
          <w:tcPr>
            <w:tcW w:w="24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141,274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133,099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134,885</w:t>
            </w: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10,421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9,765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8,478</w:t>
            </w:r>
          </w:p>
        </w:tc>
      </w:tr>
      <w:tr>
        <w:trPr>
          <w:trHeight w:val="229"/>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5,697</w:t>
            </w:r>
          </w:p>
        </w:tc>
      </w:tr>
      <w:tr>
        <w:trPr>
          <w:trHeight w:val="223"/>
        </w:trPr>
        <w:tc>
          <w:tcPr>
            <w:tcW w:w="65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1,356,006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1,358,699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1,321,634</w:t>
            </w:r>
          </w:p>
        </w:tc>
      </w:tr>
      <w:tr>
        <w:trPr>
          <w:trHeight w:val="250"/>
        </w:trPr>
        <w:tc>
          <w:tcPr>
            <w:tcW w:w="6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9"/>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32,942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48,417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41,482</w:t>
            </w:r>
          </w:p>
        </w:tc>
      </w:tr>
      <w:tr>
        <w:trPr>
          <w:trHeight w:val="20"/>
        </w:trPr>
        <w:tc>
          <w:tcPr>
            <w:tcW w:w="6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7"/>
        </w:trPr>
        <w:tc>
          <w:tcPr>
            <w:tcW w:w="65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16"/>
        </w:trPr>
        <w:tc>
          <w:tcPr>
            <w:tcW w:w="6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gridSpan w:val="4"/>
            <w:shd w:val="clear" w:color="auto" w:fill="CCEEFF"/>
          </w:tcPr>
          <w:p>
            <w:pPr>
              <w:jc w:val="right"/>
              <w:ind w:right="250"/>
              <w:spacing w:after="0"/>
              <w:rPr>
                <w:sz w:val="20"/>
                <w:szCs w:val="20"/>
                <w:color w:val="auto"/>
              </w:rPr>
            </w:pPr>
            <w:r>
              <w:rPr>
                <w:rFonts w:ascii="Arial" w:cs="Arial" w:eastAsia="Arial" w:hAnsi="Arial"/>
                <w:sz w:val="16"/>
                <w:szCs w:val="16"/>
                <w:color w:val="auto"/>
              </w:rPr>
              <w:t>(percentage of sales)</w:t>
            </w:r>
          </w:p>
        </w:tc>
        <w:tc>
          <w:tcPr>
            <w:tcW w:w="1260" w:type="dxa"/>
            <w:vAlign w:val="bottom"/>
            <w:shd w:val="clear" w:color="auto" w:fill="CCEEFF"/>
          </w:tcPr>
          <w:p>
            <w:pPr>
              <w:spacing w:after="0"/>
              <w:rPr>
                <w:sz w:val="18"/>
                <w:szCs w:val="18"/>
                <w:color w:val="auto"/>
              </w:rPr>
            </w:pPr>
          </w:p>
        </w:tc>
      </w:tr>
      <w:tr>
        <w:trPr>
          <w:trHeight w:val="270"/>
        </w:trPr>
        <w:tc>
          <w:tcPr>
            <w:tcW w:w="6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sales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70"/>
        </w:trPr>
        <w:tc>
          <w:tcPr>
            <w:tcW w:w="6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6500" w:type="dxa"/>
            <w:vAlign w:val="bottom"/>
          </w:tcPr>
          <w:p>
            <w:pPr>
              <w:ind w:left="20"/>
              <w:spacing w:after="0"/>
              <w:rPr>
                <w:sz w:val="20"/>
                <w:szCs w:val="20"/>
                <w:color w:val="auto"/>
              </w:rPr>
            </w:pPr>
            <w:r>
              <w:rPr>
                <w:rFonts w:ascii="Arial" w:cs="Arial" w:eastAsia="Arial" w:hAnsi="Arial"/>
                <w:sz w:val="18"/>
                <w:szCs w:val="18"/>
                <w:color w:val="auto"/>
              </w:rPr>
              <w:t>Materials, labor, and other operating expenses (excluding depreciation)</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85.6 %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85.3 %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84.9 %</w:t>
            </w: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Selling and distribution expenses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9.9 %</w:t>
            </w: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r>
      <w:tr>
        <w:trPr>
          <w:trHeight w:val="229"/>
        </w:trPr>
        <w:tc>
          <w:tcPr>
            <w:tcW w:w="65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 %</w:t>
            </w: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0.4 %</w:t>
            </w:r>
          </w:p>
        </w:tc>
      </w:tr>
      <w:tr>
        <w:trPr>
          <w:trHeight w:val="223"/>
        </w:trPr>
        <w:tc>
          <w:tcPr>
            <w:tcW w:w="65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97.6 %</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96.6 %</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97.0 %</w:t>
            </w:r>
          </w:p>
        </w:tc>
      </w:tr>
      <w:tr>
        <w:trPr>
          <w:trHeight w:val="250"/>
        </w:trPr>
        <w:tc>
          <w:tcPr>
            <w:tcW w:w="65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r>
      <w:tr>
        <w:trPr>
          <w:trHeight w:val="248"/>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income</w:t>
            </w: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3.4 %</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3.0 %</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85" w:right="339" w:bottom="1440" w:gutter="0" w:footer="0" w:header="0"/>
        </w:sectPr>
      </w:pPr>
    </w:p>
    <w:bookmarkStart w:id="11" w:name="page12"/>
    <w:bookmarkEnd w:id="11"/>
    <w:p>
      <w:pPr>
        <w:ind w:left="4440"/>
        <w:spacing w:after="0"/>
        <w:rPr>
          <w:sz w:val="20"/>
          <w:szCs w:val="20"/>
          <w:color w:val="auto"/>
        </w:rPr>
      </w:pPr>
      <w:r>
        <w:rPr>
          <w:rFonts w:ascii="Arial" w:cs="Arial" w:eastAsia="Arial" w:hAnsi="Arial"/>
          <w:sz w:val="20"/>
          <w:szCs w:val="20"/>
          <w:b w:val="1"/>
          <w:bCs w:val="1"/>
          <w:color w:val="auto"/>
        </w:rPr>
        <w:t>Wood Products Segment</w:t>
      </w:r>
    </w:p>
    <w:p>
      <w:pPr>
        <w:spacing w:after="0" w:line="33" w:lineRule="exact"/>
        <w:rPr>
          <w:sz w:val="20"/>
          <w:szCs w:val="20"/>
          <w:color w:val="auto"/>
        </w:rPr>
      </w:pPr>
    </w:p>
    <w:p>
      <w:pPr>
        <w:ind w:left="4420"/>
        <w:spacing w:after="0"/>
        <w:rPr>
          <w:sz w:val="20"/>
          <w:szCs w:val="20"/>
          <w:color w:val="auto"/>
        </w:rPr>
      </w:pPr>
      <w:r>
        <w:rPr>
          <w:rFonts w:ascii="Arial" w:cs="Arial" w:eastAsia="Arial" w:hAnsi="Arial"/>
          <w:sz w:val="20"/>
          <w:szCs w:val="20"/>
          <w:b w:val="1"/>
          <w:bCs w:val="1"/>
          <w:color w:val="auto"/>
        </w:rPr>
        <w:t>Statements of Operations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percentages) (unaudited)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jc w:val="center"/>
              <w:ind w:right="150"/>
              <w:spacing w:after="0"/>
              <w:rPr>
                <w:sz w:val="20"/>
                <w:szCs w:val="20"/>
                <w:color w:val="auto"/>
              </w:rPr>
            </w:pPr>
            <w:r>
              <w:rPr>
                <w:rFonts w:ascii="Arial" w:cs="Arial" w:eastAsia="Arial" w:hAnsi="Arial"/>
                <w:sz w:val="18"/>
                <w:szCs w:val="18"/>
                <w:b w:val="1"/>
                <w:bCs w:val="1"/>
                <w:color w:val="auto"/>
                <w:w w:val="99"/>
              </w:rPr>
              <w:t>Three Months Ended</w:t>
            </w:r>
          </w:p>
        </w:tc>
        <w:tc>
          <w:tcPr>
            <w:tcW w:w="1200" w:type="dxa"/>
            <w:vAlign w:val="bottom"/>
            <w:tcBorders>
              <w:bottom w:val="single" w:sz="8" w:color="auto"/>
            </w:tcBorders>
          </w:tcPr>
          <w:p>
            <w:pPr>
              <w:spacing w:after="0"/>
              <w:rPr>
                <w:sz w:val="20"/>
                <w:szCs w:val="20"/>
                <w:color w:val="auto"/>
              </w:rPr>
            </w:pPr>
          </w:p>
        </w:tc>
      </w:tr>
      <w:tr>
        <w:trPr>
          <w:trHeight w:val="250"/>
        </w:trPr>
        <w:tc>
          <w:tcPr>
            <w:tcW w:w="64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0"/>
        </w:trPr>
        <w:tc>
          <w:tcPr>
            <w:tcW w:w="64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2026</w:t>
            </w:r>
          </w:p>
        </w:tc>
        <w:tc>
          <w:tcPr>
            <w:tcW w:w="2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1"/>
                <w:szCs w:val="21"/>
                <w:color w:val="auto"/>
              </w:rPr>
            </w:pPr>
          </w:p>
        </w:tc>
        <w:tc>
          <w:tcPr>
            <w:tcW w:w="16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December 31, 2025</w:t>
            </w:r>
          </w:p>
        </w:tc>
      </w:tr>
      <w:tr>
        <w:trPr>
          <w:trHeight w:val="250"/>
        </w:trPr>
        <w:tc>
          <w:tcPr>
            <w:tcW w:w="6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sales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398,204</w:t>
            </w:r>
          </w:p>
        </w:tc>
        <w:tc>
          <w:tcPr>
            <w:tcW w:w="2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1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415,845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353,960</w:t>
            </w:r>
          </w:p>
        </w:tc>
      </w:tr>
      <w:tr>
        <w:trPr>
          <w:trHeight w:val="270"/>
        </w:trPr>
        <w:tc>
          <w:tcPr>
            <w:tcW w:w="6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Materials, labor, and other operating expenses (excluding depreciation)</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352,985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362,246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328,108</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23,465</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22,486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26,093</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Selling and distribution expenses</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9,224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10,603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10,888</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3,313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2,361</w:t>
            </w:r>
          </w:p>
        </w:tc>
      </w:tr>
      <w:tr>
        <w:trPr>
          <w:trHeight w:val="23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(512)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304</w:t>
            </w:r>
          </w:p>
        </w:tc>
      </w:tr>
      <w:tr>
        <w:trPr>
          <w:trHeight w:val="223"/>
        </w:trPr>
        <w:tc>
          <w:tcPr>
            <w:tcW w:w="64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389,712</w:t>
            </w:r>
          </w:p>
        </w:tc>
        <w:tc>
          <w:tcPr>
            <w:tcW w:w="2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398,136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367,754</w:t>
            </w:r>
          </w:p>
        </w:tc>
      </w:tr>
      <w:tr>
        <w:trPr>
          <w:trHeight w:val="250"/>
        </w:trPr>
        <w:tc>
          <w:tcPr>
            <w:tcW w:w="6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income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8,492</w:t>
            </w:r>
          </w:p>
        </w:tc>
        <w:tc>
          <w:tcPr>
            <w:tcW w:w="2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17,709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(13,794)</w:t>
            </w:r>
          </w:p>
        </w:tc>
      </w:tr>
      <w:tr>
        <w:trPr>
          <w:trHeight w:val="20"/>
        </w:trPr>
        <w:tc>
          <w:tcPr>
            <w:tcW w:w="6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7"/>
        </w:trPr>
        <w:tc>
          <w:tcPr>
            <w:tcW w:w="64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16"/>
        </w:trPr>
        <w:tc>
          <w:tcPr>
            <w:tcW w:w="6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4"/>
            <w:shd w:val="clear" w:color="auto" w:fill="CCEEFF"/>
          </w:tcPr>
          <w:p>
            <w:pPr>
              <w:jc w:val="center"/>
              <w:ind w:right="250"/>
              <w:spacing w:after="0"/>
              <w:rPr>
                <w:sz w:val="20"/>
                <w:szCs w:val="20"/>
                <w:color w:val="auto"/>
              </w:rPr>
            </w:pPr>
            <w:r>
              <w:rPr>
                <w:rFonts w:ascii="Arial" w:cs="Arial" w:eastAsia="Arial" w:hAnsi="Arial"/>
                <w:sz w:val="16"/>
                <w:szCs w:val="16"/>
                <w:color w:val="auto"/>
              </w:rPr>
              <w:t>(percentage of sales)</w:t>
            </w:r>
          </w:p>
        </w:tc>
        <w:tc>
          <w:tcPr>
            <w:tcW w:w="1200" w:type="dxa"/>
            <w:vAlign w:val="bottom"/>
            <w:shd w:val="clear" w:color="auto" w:fill="CCEEFF"/>
          </w:tcPr>
          <w:p>
            <w:pPr>
              <w:spacing w:after="0"/>
              <w:rPr>
                <w:sz w:val="18"/>
                <w:szCs w:val="18"/>
                <w:color w:val="auto"/>
              </w:rPr>
            </w:pPr>
          </w:p>
        </w:tc>
      </w:tr>
      <w:tr>
        <w:trPr>
          <w:trHeight w:val="270"/>
        </w:trPr>
        <w:tc>
          <w:tcPr>
            <w:tcW w:w="6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sales</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70"/>
        </w:trPr>
        <w:tc>
          <w:tcPr>
            <w:tcW w:w="6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Materials, labor, and other operating expenses (excluding depreciation)</w:t>
            </w:r>
          </w:p>
        </w:tc>
        <w:tc>
          <w:tcPr>
            <w:tcW w:w="3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88.6 %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87.1 %</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92.7 %</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Selling and distribution expenses</w:t>
            </w:r>
          </w:p>
        </w:tc>
        <w:tc>
          <w:tcPr>
            <w:tcW w:w="3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29"/>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r>
      <w:tr>
        <w:trPr>
          <w:trHeight w:val="223"/>
        </w:trPr>
        <w:tc>
          <w:tcPr>
            <w:tcW w:w="64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97.9 %</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95.7 %</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103.9 %</w:t>
            </w:r>
          </w:p>
        </w:tc>
      </w:tr>
      <w:tr>
        <w:trPr>
          <w:trHeight w:val="250"/>
        </w:trPr>
        <w:tc>
          <w:tcPr>
            <w:tcW w:w="64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income (loss)</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4.3 %</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8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Segment Information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420" w:type="dxa"/>
            <w:vAlign w:val="bottom"/>
            <w:tcBorders>
              <w:bottom w:val="single" w:sz="8" w:color="auto"/>
            </w:tcBorders>
          </w:tcPr>
          <w:p>
            <w:pPr>
              <w:spacing w:after="0"/>
              <w:rPr>
                <w:sz w:val="20"/>
                <w:szCs w:val="20"/>
                <w:color w:val="auto"/>
              </w:rPr>
            </w:pPr>
          </w:p>
        </w:tc>
      </w:tr>
      <w:tr>
        <w:trPr>
          <w:trHeight w:val="250"/>
        </w:trPr>
        <w:tc>
          <w:tcPr>
            <w:tcW w:w="66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December 31,</w:t>
            </w:r>
          </w:p>
        </w:tc>
      </w:tr>
      <w:tr>
        <w:trPr>
          <w:trHeight w:val="250"/>
        </w:trPr>
        <w:tc>
          <w:tcPr>
            <w:tcW w:w="66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r>
      <w:tr>
        <w:trPr>
          <w:trHeight w:val="20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sales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Building Materials Distribution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1,388,948</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1,407,116</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1,363,116</w:t>
            </w: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Wood Products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353,960</w:t>
            </w:r>
          </w:p>
        </w:tc>
      </w:tr>
      <w:tr>
        <w:trPr>
          <w:trHeight w:val="229"/>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Intersegment eliminations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(288,538)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(286,467)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(256,895)</w:t>
            </w:r>
          </w:p>
        </w:tc>
      </w:tr>
      <w:tr>
        <w:trPr>
          <w:trHeight w:val="248"/>
        </w:trPr>
        <w:tc>
          <w:tcPr>
            <w:tcW w:w="6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net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1,498,614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1,536,494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1,460,181</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income (loss)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Building Materials Distribution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32,942</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48,417</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41,482</w:t>
            </w: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Wood Products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(13,794)</w:t>
            </w:r>
          </w:p>
        </w:tc>
      </w:tr>
      <w:tr>
        <w:trPr>
          <w:trHeight w:val="223"/>
        </w:trPr>
        <w:tc>
          <w:tcPr>
            <w:tcW w:w="6620" w:type="dxa"/>
            <w:vAlign w:val="bottom"/>
          </w:tcPr>
          <w:p>
            <w:pPr>
              <w:ind w:left="140"/>
              <w:spacing w:after="0"/>
              <w:rPr>
                <w:sz w:val="20"/>
                <w:szCs w:val="20"/>
                <w:color w:val="auto"/>
              </w:rPr>
            </w:pPr>
            <w:r>
              <w:rPr>
                <w:rFonts w:ascii="Arial" w:cs="Arial" w:eastAsia="Arial" w:hAnsi="Arial"/>
                <w:sz w:val="18"/>
                <w:szCs w:val="18"/>
                <w:color w:val="auto"/>
              </w:rPr>
              <w:t>Total segment income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41,434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66,126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27,688</w:t>
            </w: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corporate costs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(11,737)</w:t>
            </w:r>
          </w:p>
        </w:tc>
      </w:tr>
      <w:tr>
        <w:trPr>
          <w:trHeight w:val="223"/>
        </w:trPr>
        <w:tc>
          <w:tcPr>
            <w:tcW w:w="6620" w:type="dxa"/>
            <w:vAlign w:val="bottom"/>
          </w:tcPr>
          <w:p>
            <w:pPr>
              <w:ind w:left="1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27,785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54,519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15,951</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7"/>
        </w:trPr>
        <w:tc>
          <w:tcPr>
            <w:tcW w:w="6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Segment EBITDA</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Materials Distribution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48,225</w:t>
            </w:r>
          </w:p>
        </w:tc>
        <w:tc>
          <w:tcPr>
            <w:tcW w:w="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56,449</w:t>
            </w:r>
          </w:p>
        </w:tc>
      </w:tr>
      <w:tr>
        <w:trPr>
          <w:trHeight w:val="239"/>
        </w:trPr>
        <w:tc>
          <w:tcPr>
            <w:tcW w:w="6620" w:type="dxa"/>
            <w:vAlign w:val="bottom"/>
          </w:tcPr>
          <w:p>
            <w:pPr>
              <w:ind w:left="20"/>
              <w:spacing w:after="0"/>
              <w:rPr>
                <w:sz w:val="20"/>
                <w:szCs w:val="20"/>
                <w:color w:val="auto"/>
              </w:rPr>
            </w:pPr>
            <w:r>
              <w:rPr>
                <w:rFonts w:ascii="Arial" w:cs="Arial" w:eastAsia="Arial" w:hAnsi="Arial"/>
                <w:sz w:val="18"/>
                <w:szCs w:val="18"/>
                <w:color w:val="auto"/>
              </w:rPr>
              <w:t>Wood Products</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31,957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40,195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12,299</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summary notes to consolidated financial statements and segment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894" w:right="33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22"/>
          <w:szCs w:val="22"/>
          <w:b w:val="1"/>
          <w:bCs w:val="1"/>
          <w:color w:val="auto"/>
        </w:rPr>
        <w:t>Boise Cascade Company</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Consolidated Balance Sheets</w:t>
      </w:r>
    </w:p>
    <w:p>
      <w:pPr>
        <w:jc w:val="center"/>
        <w:ind w:right="20"/>
        <w:spacing w:after="0"/>
        <w:rPr>
          <w:sz w:val="20"/>
          <w:szCs w:val="20"/>
          <w:color w:val="auto"/>
        </w:rPr>
      </w:pPr>
      <w:r>
        <w:rPr>
          <w:rFonts w:ascii="Arial" w:cs="Arial" w:eastAsia="Arial" w:hAnsi="Arial"/>
          <w:sz w:val="18"/>
          <w:szCs w:val="18"/>
          <w:color w:val="auto"/>
        </w:rPr>
        <w:t>(in thousands) (unaudited)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March 31, 2026</w:t>
            </w: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December 31, 2025</w:t>
            </w:r>
          </w:p>
        </w:tc>
      </w:tr>
      <w:tr>
        <w:trPr>
          <w:trHeight w:val="250"/>
        </w:trPr>
        <w:tc>
          <w:tcPr>
            <w:tcW w:w="6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29"/>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70"/>
        </w:trPr>
        <w:tc>
          <w:tcPr>
            <w:tcW w:w="6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29"/>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338,667</w:t>
            </w:r>
          </w:p>
        </w:tc>
        <w:tc>
          <w:tcPr>
            <w:tcW w:w="2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477,215</w:t>
            </w:r>
          </w:p>
        </w:tc>
      </w:tr>
      <w:tr>
        <w:trPr>
          <w:trHeight w:val="229"/>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30"/>
        </w:trPr>
        <w:tc>
          <w:tcPr>
            <w:tcW w:w="6580" w:type="dxa"/>
            <w:vAlign w:val="bottom"/>
          </w:tcPr>
          <w:p>
            <w:pPr>
              <w:ind w:left="120"/>
              <w:spacing w:after="0"/>
              <w:rPr>
                <w:sz w:val="20"/>
                <w:szCs w:val="20"/>
                <w:color w:val="auto"/>
              </w:rPr>
            </w:pPr>
            <w:r>
              <w:rPr>
                <w:rFonts w:ascii="Arial" w:cs="Arial" w:eastAsia="Arial" w:hAnsi="Arial"/>
                <w:sz w:val="18"/>
                <w:szCs w:val="18"/>
                <w:color w:val="auto"/>
              </w:rPr>
              <w:t>Trade, less allowances of $5,659 and $5,618</w:t>
            </w: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461,012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315,944</w:t>
            </w:r>
          </w:p>
        </w:tc>
      </w:tr>
      <w:tr>
        <w:trPr>
          <w:trHeight w:val="229"/>
        </w:trPr>
        <w:tc>
          <w:tcPr>
            <w:tcW w:w="6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Related parties</w:t>
            </w: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9"/>
        </w:trPr>
        <w:tc>
          <w:tcPr>
            <w:tcW w:w="6580" w:type="dxa"/>
            <w:vAlign w:val="bottom"/>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28,941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24,698</w:t>
            </w:r>
          </w:p>
        </w:tc>
      </w:tr>
      <w:tr>
        <w:trPr>
          <w:trHeight w:val="23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877,795</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795,724</w:t>
            </w:r>
          </w:p>
        </w:tc>
      </w:tr>
      <w:tr>
        <w:trPr>
          <w:trHeight w:val="229"/>
        </w:trPr>
        <w:tc>
          <w:tcPr>
            <w:tcW w:w="6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Prepaid expenses and other</w:t>
            </w: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27,544</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40,751</w:t>
            </w:r>
          </w:p>
        </w:tc>
      </w:tr>
      <w:tr>
        <w:trPr>
          <w:trHeight w:val="223"/>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1,734,242</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1,654,418</w:t>
            </w:r>
          </w:p>
        </w:tc>
      </w:tr>
      <w:tr>
        <w:trPr>
          <w:trHeight w:val="223"/>
        </w:trPr>
        <w:tc>
          <w:tcPr>
            <w:tcW w:w="6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1,155,967</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1,157,261</w:t>
            </w:r>
          </w:p>
        </w:tc>
      </w:tr>
      <w:tr>
        <w:trPr>
          <w:trHeight w:val="229"/>
        </w:trPr>
        <w:tc>
          <w:tcPr>
            <w:tcW w:w="65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52,971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55,980</w:t>
            </w:r>
          </w:p>
        </w:tc>
      </w:tr>
      <w:tr>
        <w:trPr>
          <w:trHeight w:val="229"/>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Finance lease right-of-use assets</w:t>
            </w: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11,825</w:t>
            </w: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Timber deposits</w:t>
            </w: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7,501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8,058</w:t>
            </w:r>
          </w:p>
        </w:tc>
      </w:tr>
      <w:tr>
        <w:trPr>
          <w:trHeight w:val="229"/>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185,386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185,384</w:t>
            </w:r>
          </w:p>
        </w:tc>
      </w:tr>
      <w:tr>
        <w:trPr>
          <w:trHeight w:val="229"/>
        </w:trPr>
        <w:tc>
          <w:tcPr>
            <w:tcW w:w="65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154,405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159,665</w:t>
            </w:r>
          </w:p>
        </w:tc>
      </w:tr>
      <w:tr>
        <w:trPr>
          <w:trHeight w:val="23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w:t>
            </w:r>
          </w:p>
        </w:tc>
      </w:tr>
      <w:tr>
        <w:trPr>
          <w:trHeight w:val="229"/>
        </w:trPr>
        <w:tc>
          <w:tcPr>
            <w:tcW w:w="6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6,467</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6,311</w:t>
            </w:r>
          </w:p>
        </w:tc>
      </w:tr>
      <w:tr>
        <w:trPr>
          <w:trHeight w:val="248"/>
        </w:trPr>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3,341,624</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3,241,943</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360" w:top="894" w:right="35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22"/>
          <w:szCs w:val="22"/>
          <w:b w:val="1"/>
          <w:bCs w:val="1"/>
          <w:color w:val="auto"/>
        </w:rPr>
        <w:t>Boise Cascade Company</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Consolidated Balance Sheets (continued)</w:t>
      </w:r>
    </w:p>
    <w:p>
      <w:pPr>
        <w:jc w:val="center"/>
        <w:ind w:right="20"/>
        <w:spacing w:after="0"/>
        <w:rPr>
          <w:sz w:val="20"/>
          <w:szCs w:val="20"/>
          <w:color w:val="auto"/>
        </w:rPr>
      </w:pPr>
      <w:r>
        <w:rPr>
          <w:rFonts w:ascii="Arial" w:cs="Arial" w:eastAsia="Arial" w:hAnsi="Arial"/>
          <w:sz w:val="18"/>
          <w:szCs w:val="18"/>
          <w:color w:val="auto"/>
        </w:rPr>
        <w:t>(in thousands, except per-share data) (unaudited)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March 31, 2026</w:t>
            </w: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December 31, 2025</w:t>
            </w:r>
          </w:p>
        </w:tc>
      </w:tr>
      <w:tr>
        <w:trPr>
          <w:trHeight w:val="250"/>
        </w:trPr>
        <w:tc>
          <w:tcPr>
            <w:tcW w:w="6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29"/>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70"/>
        </w:trPr>
        <w:tc>
          <w:tcPr>
            <w:tcW w:w="6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29"/>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9"/>
        </w:trPr>
        <w:tc>
          <w:tcPr>
            <w:tcW w:w="6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Trade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428,963</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254,622</w:t>
            </w:r>
          </w:p>
        </w:tc>
      </w:tr>
      <w:tr>
        <w:trPr>
          <w:trHeight w:val="230"/>
        </w:trPr>
        <w:tc>
          <w:tcPr>
            <w:tcW w:w="6580" w:type="dxa"/>
            <w:vAlign w:val="bottom"/>
          </w:tcPr>
          <w:p>
            <w:pPr>
              <w:ind w:left="120"/>
              <w:spacing w:after="0"/>
              <w:rPr>
                <w:sz w:val="20"/>
                <w:szCs w:val="20"/>
                <w:color w:val="auto"/>
              </w:rPr>
            </w:pPr>
            <w:r>
              <w:rPr>
                <w:rFonts w:ascii="Arial" w:cs="Arial" w:eastAsia="Arial" w:hAnsi="Arial"/>
                <w:sz w:val="18"/>
                <w:szCs w:val="18"/>
                <w:color w:val="auto"/>
              </w:rPr>
              <w:t>Related parties</w:t>
            </w: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2,194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915</w:t>
            </w:r>
          </w:p>
        </w:tc>
      </w:tr>
      <w:tr>
        <w:trPr>
          <w:trHeight w:val="229"/>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29"/>
        </w:trPr>
        <w:tc>
          <w:tcPr>
            <w:tcW w:w="6580" w:type="dxa"/>
            <w:vAlign w:val="bottom"/>
          </w:tcPr>
          <w:p>
            <w:pPr>
              <w:ind w:left="120"/>
              <w:spacing w:after="0"/>
              <w:rPr>
                <w:sz w:val="20"/>
                <w:szCs w:val="20"/>
                <w:color w:val="auto"/>
              </w:rPr>
            </w:pPr>
            <w:r>
              <w:rPr>
                <w:rFonts w:ascii="Arial" w:cs="Arial" w:eastAsia="Arial" w:hAnsi="Arial"/>
                <w:sz w:val="18"/>
                <w:szCs w:val="18"/>
                <w:color w:val="auto"/>
              </w:rPr>
              <w:t>Compensation and benefits</w:t>
            </w: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93,429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103,066</w:t>
            </w:r>
          </w:p>
        </w:tc>
      </w:tr>
      <w:tr>
        <w:trPr>
          <w:trHeight w:val="230"/>
        </w:trPr>
        <w:tc>
          <w:tcPr>
            <w:tcW w:w="6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payable</w:t>
            </w: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10,176</w:t>
            </w:r>
          </w:p>
        </w:tc>
      </w:tr>
      <w:tr>
        <w:trPr>
          <w:trHeight w:val="229"/>
        </w:trPr>
        <w:tc>
          <w:tcPr>
            <w:tcW w:w="65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97,159</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124,297</w:t>
            </w:r>
          </w:p>
        </w:tc>
      </w:tr>
      <w:tr>
        <w:trPr>
          <w:trHeight w:val="223"/>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627,030</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493,076</w:t>
            </w:r>
          </w:p>
        </w:tc>
      </w:tr>
      <w:tr>
        <w:trPr>
          <w:trHeight w:val="250"/>
        </w:trPr>
        <w:tc>
          <w:tcPr>
            <w:tcW w:w="6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29"/>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Debt</w:t>
            </w: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29"/>
        </w:trPr>
        <w:tc>
          <w:tcPr>
            <w:tcW w:w="6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 debt, net</w:t>
            </w: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448,148</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445,405</w:t>
            </w:r>
          </w:p>
        </w:tc>
      </w:tr>
      <w:tr>
        <w:trPr>
          <w:trHeight w:val="250"/>
        </w:trPr>
        <w:tc>
          <w:tcPr>
            <w:tcW w:w="65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2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9"/>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39,354</w:t>
            </w: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46,602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49,778</w:t>
            </w:r>
          </w:p>
        </w:tc>
      </w:tr>
      <w:tr>
        <w:trPr>
          <w:trHeight w:val="229"/>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Finance lease liabilities, net of current portion</w:t>
            </w: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44,828</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15,631</w:t>
            </w: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104,574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105,551</w:t>
            </w:r>
          </w:p>
        </w:tc>
      </w:tr>
      <w:tr>
        <w:trPr>
          <w:trHeight w:val="229"/>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19,047</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18,270</w:t>
            </w:r>
          </w:p>
        </w:tc>
      </w:tr>
      <w:tr>
        <w:trPr>
          <w:trHeight w:val="223"/>
        </w:trPr>
        <w:tc>
          <w:tcPr>
            <w:tcW w:w="65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250,513</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228,584</w:t>
            </w:r>
          </w:p>
        </w:tc>
      </w:tr>
      <w:tr>
        <w:trPr>
          <w:trHeight w:val="223"/>
        </w:trPr>
        <w:tc>
          <w:tcPr>
            <w:tcW w:w="6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29"/>
        </w:trPr>
        <w:tc>
          <w:tcPr>
            <w:tcW w:w="6580" w:type="dxa"/>
            <w:vAlign w:val="bottom"/>
          </w:tcPr>
          <w:p>
            <w:pPr>
              <w:spacing w:after="0"/>
              <w:rPr>
                <w:sz w:val="20"/>
                <w:szCs w:val="20"/>
                <w:color w:val="auto"/>
              </w:rPr>
            </w:pPr>
            <w:r>
              <w:rPr>
                <w:rFonts w:ascii="Arial" w:cs="Arial" w:eastAsia="Arial" w:hAnsi="Arial"/>
                <w:sz w:val="18"/>
                <w:szCs w:val="18"/>
                <w:b w:val="1"/>
                <w:bCs w:val="1"/>
                <w:color w:val="auto"/>
              </w:rPr>
              <w:t>Commitments and contingent liabilities</w:t>
            </w:r>
          </w:p>
        </w:tc>
        <w:tc>
          <w:tcPr>
            <w:tcW w:w="2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70"/>
        </w:trPr>
        <w:tc>
          <w:tcPr>
            <w:tcW w:w="65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4"/>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$0.01 par value per share; 50,000 shares authorized, no shares</w:t>
            </w: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62"/>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issued and outstanding</w:t>
            </w:r>
          </w:p>
        </w:tc>
        <w:tc>
          <w:tcPr>
            <w:tcW w:w="280" w:type="dxa"/>
            <w:vAlign w:val="bottom"/>
            <w:shd w:val="clear" w:color="auto" w:fill="CCEEFF"/>
          </w:tcPr>
          <w:p>
            <w:pPr>
              <w:spacing w:after="0"/>
              <w:rPr>
                <w:sz w:val="22"/>
                <w:szCs w:val="22"/>
                <w:color w:val="auto"/>
              </w:rPr>
            </w:pPr>
          </w:p>
        </w:tc>
        <w:tc>
          <w:tcPr>
            <w:tcW w:w="2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6580" w:type="dxa"/>
            <w:vAlign w:val="bottom"/>
          </w:tcPr>
          <w:p>
            <w:pPr>
              <w:spacing w:after="0"/>
              <w:rPr>
                <w:sz w:val="20"/>
                <w:szCs w:val="20"/>
                <w:color w:val="auto"/>
              </w:rPr>
            </w:pPr>
            <w:r>
              <w:rPr>
                <w:rFonts w:ascii="Arial" w:cs="Arial" w:eastAsia="Arial" w:hAnsi="Arial"/>
                <w:sz w:val="18"/>
                <w:szCs w:val="18"/>
                <w:color w:val="auto"/>
              </w:rPr>
              <w:t>Common stock, $0.01 par value per share; 300,000 shares authorized, 35,503</w:t>
            </w:r>
          </w:p>
        </w:tc>
        <w:tc>
          <w:tcPr>
            <w:tcW w:w="2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62"/>
        </w:trPr>
        <w:tc>
          <w:tcPr>
            <w:tcW w:w="6580" w:type="dxa"/>
            <w:vAlign w:val="bottom"/>
          </w:tcPr>
          <w:p>
            <w:pPr>
              <w:spacing w:after="0"/>
              <w:rPr>
                <w:sz w:val="20"/>
                <w:szCs w:val="20"/>
                <w:color w:val="auto"/>
              </w:rPr>
            </w:pPr>
            <w:r>
              <w:rPr>
                <w:rFonts w:ascii="Arial" w:cs="Arial" w:eastAsia="Arial" w:hAnsi="Arial"/>
                <w:sz w:val="18"/>
                <w:szCs w:val="18"/>
                <w:color w:val="auto"/>
              </w:rPr>
              <w:t>and 36,190 shares issued, respectively</w:t>
            </w:r>
          </w:p>
        </w:tc>
        <w:tc>
          <w:tcPr>
            <w:tcW w:w="28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355</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362</w:t>
            </w:r>
          </w:p>
        </w:tc>
      </w:tr>
      <w:tr>
        <w:trPr>
          <w:trHeight w:val="27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23"/>
                <w:szCs w:val="23"/>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568,433</w:t>
            </w: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571,220</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(469)</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(476)</w:t>
            </w:r>
          </w:p>
        </w:tc>
      </w:tr>
      <w:tr>
        <w:trPr>
          <w:trHeight w:val="229"/>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1,447,614</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1,503,772</w:t>
            </w:r>
          </w:p>
        </w:tc>
      </w:tr>
      <w:tr>
        <w:trPr>
          <w:trHeight w:val="223"/>
        </w:trPr>
        <w:tc>
          <w:tcPr>
            <w:tcW w:w="65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2,015,933</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2,074,878</w:t>
            </w:r>
          </w:p>
        </w:tc>
      </w:tr>
      <w:tr>
        <w:trPr>
          <w:trHeight w:val="248"/>
        </w:trPr>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3,341,624</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3,241,943</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80"/>
          </w:cols>
          <w:pgMar w:left="360" w:top="894" w:right="359"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Boise Cascade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Cash Flows</w:t>
      </w:r>
    </w:p>
    <w:p>
      <w:pPr>
        <w:jc w:val="center"/>
        <w:spacing w:after="0"/>
        <w:rPr>
          <w:sz w:val="20"/>
          <w:szCs w:val="20"/>
          <w:color w:val="auto"/>
        </w:rPr>
      </w:pPr>
      <w:r>
        <w:rPr>
          <w:rFonts w:ascii="Arial" w:cs="Arial" w:eastAsia="Arial" w:hAnsi="Arial"/>
          <w:sz w:val="18"/>
          <w:szCs w:val="18"/>
          <w:color w:val="auto"/>
        </w:rPr>
        <w:t>(in thousands) (unaudited)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2026</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provided by (used for) operations</w:t>
            </w:r>
          </w:p>
        </w:tc>
        <w:tc>
          <w:tcPr>
            <w:tcW w:w="4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17,842</w:t>
            </w:r>
          </w:p>
        </w:tc>
        <w:tc>
          <w:tcPr>
            <w:tcW w:w="2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40,348</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Items in net income not using (providing) cash</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240" w:type="dxa"/>
            <w:vAlign w:val="bottom"/>
          </w:tcPr>
          <w:p>
            <w:pPr>
              <w:ind w:left="140"/>
              <w:spacing w:after="0"/>
              <w:rPr>
                <w:sz w:val="20"/>
                <w:szCs w:val="20"/>
                <w:color w:val="auto"/>
              </w:rPr>
            </w:pPr>
            <w:r>
              <w:rPr>
                <w:rFonts w:ascii="Arial" w:cs="Arial" w:eastAsia="Arial" w:hAnsi="Arial"/>
                <w:sz w:val="18"/>
                <w:szCs w:val="18"/>
                <w:color w:val="auto"/>
              </w:rPr>
              <w:t>Depreciation and amortization, including deferred financing costs and other</w:t>
            </w:r>
          </w:p>
        </w:tc>
        <w:tc>
          <w:tcPr>
            <w:tcW w:w="4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39,923</w:t>
            </w: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37,960</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0" w:type="dxa"/>
            <w:vAlign w:val="bottom"/>
          </w:tcPr>
          <w:p>
            <w:pPr>
              <w:spacing w:after="0"/>
              <w:rPr>
                <w:sz w:val="1"/>
                <w:szCs w:val="1"/>
                <w:color w:val="auto"/>
              </w:rPr>
            </w:pPr>
          </w:p>
        </w:tc>
      </w:tr>
      <w:tr>
        <w:trPr>
          <w:trHeight w:val="229"/>
        </w:trPr>
        <w:tc>
          <w:tcPr>
            <w:tcW w:w="724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4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(895)</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interest rate swaps</w:t>
            </w:r>
          </w:p>
        </w:tc>
        <w:tc>
          <w:tcPr>
            <w:tcW w:w="4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29"/>
        </w:trPr>
        <w:tc>
          <w:tcPr>
            <w:tcW w:w="7240" w:type="dxa"/>
            <w:vAlign w:val="bottom"/>
          </w:tcPr>
          <w:p>
            <w:pPr>
              <w:ind w:left="14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(increase) in working capital</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140"/>
              <w:spacing w:after="0"/>
              <w:rPr>
                <w:sz w:val="20"/>
                <w:szCs w:val="20"/>
                <w:color w:val="auto"/>
              </w:rPr>
            </w:pPr>
            <w:r>
              <w:rPr>
                <w:rFonts w:ascii="Arial" w:cs="Arial" w:eastAsia="Arial" w:hAnsi="Arial"/>
                <w:sz w:val="18"/>
                <w:szCs w:val="18"/>
                <w:color w:val="auto"/>
              </w:rPr>
              <w:t>Receivables</w:t>
            </w:r>
          </w:p>
        </w:tc>
        <w:tc>
          <w:tcPr>
            <w:tcW w:w="4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(139,930)</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(129,683)</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(82,071)</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(118,138)</w:t>
            </w:r>
          </w:p>
        </w:tc>
        <w:tc>
          <w:tcPr>
            <w:tcW w:w="0" w:type="dxa"/>
            <w:vAlign w:val="bottom"/>
          </w:tcPr>
          <w:p>
            <w:pPr>
              <w:spacing w:after="0"/>
              <w:rPr>
                <w:sz w:val="1"/>
                <w:szCs w:val="1"/>
                <w:color w:val="auto"/>
              </w:rPr>
            </w:pPr>
          </w:p>
        </w:tc>
      </w:tr>
      <w:tr>
        <w:trPr>
          <w:trHeight w:val="229"/>
        </w:trPr>
        <w:tc>
          <w:tcPr>
            <w:tcW w:w="7240" w:type="dxa"/>
            <w:vAlign w:val="bottom"/>
          </w:tcPr>
          <w:p>
            <w:pPr>
              <w:ind w:left="140"/>
              <w:spacing w:after="0"/>
              <w:rPr>
                <w:sz w:val="20"/>
                <w:szCs w:val="20"/>
                <w:color w:val="auto"/>
              </w:rPr>
            </w:pPr>
            <w:r>
              <w:rPr>
                <w:rFonts w:ascii="Arial" w:cs="Arial" w:eastAsia="Arial" w:hAnsi="Arial"/>
                <w:sz w:val="18"/>
                <w:szCs w:val="18"/>
                <w:color w:val="auto"/>
              </w:rPr>
              <w:t>Prepaid expenses and other</w:t>
            </w:r>
          </w:p>
        </w:tc>
        <w:tc>
          <w:tcPr>
            <w:tcW w:w="4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(3,242)</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(3,786)</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liabilities</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144,745</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127,935</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4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6,918</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11,654</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2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used for operations</w:t>
            </w: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(15,982)</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(28,476)</w:t>
            </w:r>
          </w:p>
        </w:tc>
        <w:tc>
          <w:tcPr>
            <w:tcW w:w="0" w:type="dxa"/>
            <w:vAlign w:val="bottom"/>
          </w:tcPr>
          <w:p>
            <w:pPr>
              <w:spacing w:after="0"/>
              <w:rPr>
                <w:sz w:val="1"/>
                <w:szCs w:val="1"/>
                <w:color w:val="auto"/>
              </w:rPr>
            </w:pPr>
          </w:p>
        </w:tc>
      </w:tr>
      <w:tr>
        <w:trPr>
          <w:trHeight w:val="142"/>
        </w:trPr>
        <w:tc>
          <w:tcPr>
            <w:tcW w:w="7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Cash provided by (used for) investment</w:t>
            </w: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Expenditures for property and equipment</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(39,824)</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(53,205)</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Acquisitions of businesses and facilities</w:t>
            </w:r>
          </w:p>
        </w:tc>
        <w:tc>
          <w:tcPr>
            <w:tcW w:w="4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sales of assets and other</w:t>
            </w:r>
          </w:p>
        </w:tc>
        <w:tc>
          <w:tcPr>
            <w:tcW w:w="4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used for investment</w:t>
            </w: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(39,473)</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(52,225)</w:t>
            </w:r>
          </w:p>
        </w:tc>
        <w:tc>
          <w:tcPr>
            <w:tcW w:w="0" w:type="dxa"/>
            <w:vAlign w:val="bottom"/>
          </w:tcPr>
          <w:p>
            <w:pPr>
              <w:spacing w:after="0"/>
              <w:rPr>
                <w:sz w:val="1"/>
                <w:szCs w:val="1"/>
                <w:color w:val="auto"/>
              </w:rPr>
            </w:pPr>
          </w:p>
        </w:tc>
      </w:tr>
      <w:tr>
        <w:trPr>
          <w:trHeight w:val="142"/>
        </w:trPr>
        <w:tc>
          <w:tcPr>
            <w:tcW w:w="7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Cash provided by (used for) financing</w:t>
            </w: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common stock</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(65,513)</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(53,884)</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Dividends paid on common stock</w:t>
            </w:r>
          </w:p>
        </w:tc>
        <w:tc>
          <w:tcPr>
            <w:tcW w:w="4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(10,370)</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(10,485)</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withholding payments on stock-based awards</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(6,244)</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(5,907)</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used for financing</w:t>
            </w:r>
          </w:p>
        </w:tc>
        <w:tc>
          <w:tcPr>
            <w:tcW w:w="4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(83,093)</w:t>
            </w:r>
          </w:p>
        </w:tc>
        <w:tc>
          <w:tcPr>
            <w:tcW w:w="2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(70,778)</w:t>
            </w:r>
          </w:p>
        </w:tc>
        <w:tc>
          <w:tcPr>
            <w:tcW w:w="0" w:type="dxa"/>
            <w:vAlign w:val="bottom"/>
          </w:tcPr>
          <w:p>
            <w:pPr>
              <w:spacing w:after="0"/>
              <w:rPr>
                <w:sz w:val="1"/>
                <w:szCs w:val="1"/>
                <w:color w:val="auto"/>
              </w:rPr>
            </w:pPr>
          </w:p>
        </w:tc>
      </w:tr>
      <w:tr>
        <w:trPr>
          <w:trHeight w:val="142"/>
        </w:trPr>
        <w:tc>
          <w:tcPr>
            <w:tcW w:w="7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decrease in cash and cash equivalents</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(138,548)</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(151,479)</w:t>
            </w:r>
          </w:p>
        </w:tc>
        <w:tc>
          <w:tcPr>
            <w:tcW w:w="0" w:type="dxa"/>
            <w:vAlign w:val="bottom"/>
          </w:tcPr>
          <w:p>
            <w:pPr>
              <w:spacing w:after="0"/>
              <w:rPr>
                <w:sz w:val="1"/>
                <w:szCs w:val="1"/>
                <w:color w:val="auto"/>
              </w:rPr>
            </w:pPr>
          </w:p>
        </w:tc>
      </w:tr>
      <w:tr>
        <w:trPr>
          <w:trHeight w:val="162"/>
        </w:trPr>
        <w:tc>
          <w:tcPr>
            <w:tcW w:w="7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the period</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477,215</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713,260</w:t>
            </w:r>
          </w:p>
        </w:tc>
        <w:tc>
          <w:tcPr>
            <w:tcW w:w="0" w:type="dxa"/>
            <w:vAlign w:val="bottom"/>
          </w:tcPr>
          <w:p>
            <w:pPr>
              <w:spacing w:after="0"/>
              <w:rPr>
                <w:sz w:val="1"/>
                <w:szCs w:val="1"/>
                <w:color w:val="auto"/>
              </w:rPr>
            </w:pPr>
          </w:p>
        </w:tc>
      </w:tr>
      <w:tr>
        <w:trPr>
          <w:trHeight w:val="162"/>
        </w:trPr>
        <w:tc>
          <w:tcPr>
            <w:tcW w:w="72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end of the period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338,667</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561,781</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5520"/>
              <w:spacing w:after="0"/>
              <w:rPr>
                <w:sz w:val="20"/>
                <w:szCs w:val="20"/>
                <w:color w:val="auto"/>
              </w:rPr>
            </w:pPr>
            <w:r>
              <w:rPr>
                <w:rFonts w:ascii="Arial" w:cs="Arial" w:eastAsia="Arial" w:hAnsi="Arial"/>
                <w:sz w:val="18"/>
                <w:szCs w:val="18"/>
                <w:color w:val="auto"/>
              </w:rPr>
              <w:t>12</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2"/>
        </w:trPr>
        <w:tc>
          <w:tcPr>
            <w:tcW w:w="72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4" w:right="33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Summary Notes to Consolidated Financial Statements and Segment Information</w:t>
      </w:r>
    </w:p>
    <w:p>
      <w:pPr>
        <w:spacing w:after="0" w:line="99" w:lineRule="exact"/>
        <w:rPr>
          <w:sz w:val="20"/>
          <w:szCs w:val="20"/>
          <w:color w:val="auto"/>
        </w:rPr>
      </w:pPr>
    </w:p>
    <w:p>
      <w:pPr>
        <w:ind w:right="100" w:firstLine="648"/>
        <w:spacing w:after="0" w:line="262" w:lineRule="auto"/>
        <w:rPr>
          <w:sz w:val="20"/>
          <w:szCs w:val="20"/>
          <w:color w:val="auto"/>
        </w:rPr>
      </w:pPr>
      <w:r>
        <w:rPr>
          <w:rFonts w:ascii="Arial" w:cs="Arial" w:eastAsia="Arial" w:hAnsi="Arial"/>
          <w:sz w:val="18"/>
          <w:szCs w:val="18"/>
          <w:color w:val="auto"/>
        </w:rPr>
        <w:t>The Consolidated Statements of Operations, Segment Statements of Operations, Consolidated Balance Sheets, Consolidated Statements of Cash Flows, and Segment Information presented herein do not include the notes accompanying the Company's Consolidated Financial Statements and should be read in conjunction with the Company’s 2025 Form 10-K and the Company's other filings with the Securities and Exchange Commission. Net income for all periods presented involved estimates and accruals.</w:t>
      </w:r>
    </w:p>
    <w:p>
      <w:pPr>
        <w:spacing w:after="0" w:line="122"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EBITDA represents income before interest (interest expense and interest income), income taxes, and depreciation and amortization. Additionally, we disclose Adjusted EBITDA, which further adjusts EBITDA to exclude the change in fair value of interest rate swaps. The following table reconciles net income to EBITDA and Adjusted EBITDA for the three months ended March 31, 2026 and 2025, and December 31, 2025:</w:t>
      </w:r>
    </w:p>
    <w:p>
      <w:pPr>
        <w:spacing w:after="0" w:line="311" w:lineRule="exact"/>
        <w:rPr>
          <w:sz w:val="20"/>
          <w:szCs w:val="20"/>
          <w:color w:val="auto"/>
        </w:rPr>
      </w:pPr>
    </w:p>
    <w:tbl>
      <w:tblPr>
        <w:tblLayout w:type="fixed"/>
        <w:tblInd w:w="340" w:type="dxa"/>
        <w:tblCellMar>
          <w:top w:w="0" w:type="dxa"/>
          <w:left w:w="0" w:type="dxa"/>
          <w:bottom w:w="0" w:type="dxa"/>
          <w:right w:w="0" w:type="dxa"/>
        </w:tblCellMar>
      </w:tblPr>
      <w:tr>
        <w:trPr>
          <w:trHeight w:val="235"/>
        </w:trPr>
        <w:tc>
          <w:tcPr>
            <w:tcW w:w="6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jc w:val="center"/>
              <w:ind w:right="1250"/>
              <w:spacing w:after="0"/>
              <w:rPr>
                <w:sz w:val="20"/>
                <w:szCs w:val="20"/>
                <w:color w:val="auto"/>
              </w:rPr>
            </w:pPr>
            <w:r>
              <w:rPr>
                <w:rFonts w:ascii="Arial" w:cs="Arial" w:eastAsia="Arial" w:hAnsi="Arial"/>
                <w:sz w:val="18"/>
                <w:szCs w:val="18"/>
                <w:b w:val="1"/>
                <w:bCs w:val="1"/>
                <w:color w:val="auto"/>
                <w:w w:val="99"/>
              </w:rPr>
              <w:t>Three Months Ended</w:t>
            </w:r>
          </w:p>
        </w:tc>
      </w:tr>
      <w:tr>
        <w:trPr>
          <w:trHeight w:val="250"/>
        </w:trPr>
        <w:tc>
          <w:tcPr>
            <w:tcW w:w="60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4"/>
          </w:tcPr>
          <w:p>
            <w:pPr>
              <w:jc w:val="right"/>
              <w:ind w:right="93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31,</w:t>
            </w:r>
          </w:p>
        </w:tc>
      </w:tr>
      <w:tr>
        <w:trPr>
          <w:trHeight w:val="250"/>
        </w:trPr>
        <w:tc>
          <w:tcPr>
            <w:tcW w:w="60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r>
      <w:tr>
        <w:trPr>
          <w:trHeight w:val="223"/>
        </w:trPr>
        <w:tc>
          <w:tcPr>
            <w:tcW w:w="6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(in thousands)</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8,734</w:t>
            </w: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6,024</w:t>
            </w: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(4,452)</w:t>
            </w: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5,572</w:t>
            </w: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39,053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41,313</w:t>
            </w:r>
          </w:p>
        </w:tc>
      </w:tr>
      <w:tr>
        <w:trPr>
          <w:trHeight w:val="223"/>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EBITDA</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66,567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91,117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57,191</w:t>
            </w: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interest rate swaps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66,567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91,607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57,191</w:t>
            </w:r>
          </w:p>
        </w:tc>
      </w:tr>
      <w:tr>
        <w:trPr>
          <w:trHeight w:val="21"/>
        </w:trPr>
        <w:tc>
          <w:tcPr>
            <w:tcW w:w="6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885" w:right="339" w:bottom="1440" w:gutter="0" w:footer="0" w:header="0"/>
        </w:sectPr>
      </w:pPr>
    </w:p>
    <w:bookmarkStart w:id="17" w:name="page18"/>
    <w:bookmarkEnd w:id="17"/>
    <w:p>
      <w:pPr>
        <w:ind w:firstLine="648"/>
        <w:spacing w:after="0" w:line="287" w:lineRule="auto"/>
        <w:rPr>
          <w:sz w:val="20"/>
          <w:szCs w:val="20"/>
          <w:color w:val="auto"/>
        </w:rPr>
      </w:pPr>
      <w:r>
        <w:rPr>
          <w:rFonts w:ascii="Arial" w:cs="Arial" w:eastAsia="Arial" w:hAnsi="Arial"/>
          <w:sz w:val="18"/>
          <w:szCs w:val="18"/>
          <w:color w:val="auto"/>
        </w:rPr>
        <w:t>The following table reconciles segment income (loss) and unallocated corporate costs to Segment EBITDA, EBITDA and Adjusted EBITDA for the three months ended March 31, 2026 and 2025, and December 31, 2025:</w:t>
      </w:r>
    </w:p>
    <w:p>
      <w:pPr>
        <w:spacing w:after="0" w:line="139" w:lineRule="exact"/>
        <w:rPr>
          <w:sz w:val="20"/>
          <w:szCs w:val="20"/>
          <w:color w:val="auto"/>
        </w:rPr>
      </w:pPr>
    </w:p>
    <w:tbl>
      <w:tblPr>
        <w:tblLayout w:type="fixed"/>
        <w:tblInd w:w="340" w:type="dxa"/>
        <w:tblCellMar>
          <w:top w:w="0" w:type="dxa"/>
          <w:left w:w="0" w:type="dxa"/>
          <w:bottom w:w="0" w:type="dxa"/>
          <w:right w:w="0" w:type="dxa"/>
        </w:tblCellMar>
      </w:tblPr>
      <w:tr>
        <w:trPr>
          <w:trHeight w:val="235"/>
        </w:trPr>
        <w:tc>
          <w:tcPr>
            <w:tcW w:w="6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right"/>
              <w:ind w:right="1130"/>
              <w:spacing w:after="0"/>
              <w:rPr>
                <w:sz w:val="20"/>
                <w:szCs w:val="20"/>
                <w:color w:val="auto"/>
              </w:rPr>
            </w:pPr>
            <w:r>
              <w:rPr>
                <w:rFonts w:ascii="Arial" w:cs="Arial" w:eastAsia="Arial" w:hAnsi="Arial"/>
                <w:sz w:val="18"/>
                <w:szCs w:val="18"/>
                <w:b w:val="1"/>
                <w:bCs w:val="1"/>
                <w:color w:val="auto"/>
                <w:w w:val="99"/>
              </w:rPr>
              <w:t>Three Months Ended</w:t>
            </w:r>
          </w:p>
        </w:tc>
      </w:tr>
      <w:tr>
        <w:trPr>
          <w:trHeight w:val="250"/>
        </w:trPr>
        <w:tc>
          <w:tcPr>
            <w:tcW w:w="6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31,</w:t>
            </w:r>
          </w:p>
        </w:tc>
      </w:tr>
      <w:tr>
        <w:trPr>
          <w:trHeight w:val="250"/>
        </w:trPr>
        <w:tc>
          <w:tcPr>
            <w:tcW w:w="6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r>
      <w:tr>
        <w:trPr>
          <w:trHeight w:val="223"/>
        </w:trPr>
        <w:tc>
          <w:tcPr>
            <w:tcW w:w="6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3"/>
          </w:tcPr>
          <w:p>
            <w:pPr>
              <w:jc w:val="right"/>
              <w:ind w:right="30"/>
              <w:spacing w:after="0"/>
              <w:rPr>
                <w:sz w:val="20"/>
                <w:szCs w:val="20"/>
                <w:color w:val="auto"/>
              </w:rPr>
            </w:pPr>
            <w:r>
              <w:rPr>
                <w:rFonts w:ascii="Arial" w:cs="Arial" w:eastAsia="Arial" w:hAnsi="Arial"/>
                <w:sz w:val="18"/>
                <w:szCs w:val="18"/>
                <w:color w:val="auto"/>
              </w:rPr>
              <w:t>(in thousands)</w:t>
            </w:r>
          </w:p>
        </w:tc>
        <w:tc>
          <w:tcPr>
            <w:tcW w:w="1420" w:type="dxa"/>
            <w:vAlign w:val="bottom"/>
          </w:tcPr>
          <w:p>
            <w:pPr>
              <w:spacing w:after="0"/>
              <w:rPr>
                <w:sz w:val="19"/>
                <w:szCs w:val="19"/>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Building Materials Distribution</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32,942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48,417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41,482</w:t>
            </w: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14,967</w:t>
            </w:r>
          </w:p>
        </w:tc>
      </w:tr>
      <w:tr>
        <w:trPr>
          <w:trHeight w:val="223"/>
        </w:trPr>
        <w:tc>
          <w:tcPr>
            <w:tcW w:w="6260" w:type="dxa"/>
            <w:vAlign w:val="bottom"/>
          </w:tcPr>
          <w:p>
            <w:pPr>
              <w:ind w:left="140"/>
              <w:spacing w:after="0"/>
              <w:rPr>
                <w:sz w:val="20"/>
                <w:szCs w:val="20"/>
                <w:color w:val="auto"/>
              </w:rPr>
            </w:pPr>
            <w:r>
              <w:rPr>
                <w:rFonts w:ascii="Arial" w:cs="Arial" w:eastAsia="Arial" w:hAnsi="Arial"/>
                <w:sz w:val="18"/>
                <w:szCs w:val="18"/>
                <w:color w:val="auto"/>
              </w:rPr>
              <w:t>Segment EBITDA</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48,225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62,779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56,449</w:t>
            </w: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7"/>
        </w:trPr>
        <w:tc>
          <w:tcPr>
            <w:tcW w:w="6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Wood Products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income (loss)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(13,794)</w:t>
            </w:r>
          </w:p>
        </w:tc>
      </w:tr>
      <w:tr>
        <w:trPr>
          <w:trHeight w:val="230"/>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23,465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26,093</w:t>
            </w:r>
          </w:p>
        </w:tc>
      </w:tr>
      <w:tr>
        <w:trPr>
          <w:trHeight w:val="248"/>
        </w:trPr>
        <w:tc>
          <w:tcPr>
            <w:tcW w:w="6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Segment EBITDA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31,957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40,195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12,299</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Corporate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Unallocated corporate costs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(13,649)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(11,607)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(11,737)</w:t>
            </w: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gain (loss)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Pension expense (excluding service costs)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interest rate swaps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r>
      <w:tr>
        <w:trPr>
          <w:trHeight w:val="223"/>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EBITDA</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(11,557)</w:t>
            </w:r>
          </w:p>
        </w:tc>
      </w:tr>
      <w:tr>
        <w:trPr>
          <w:trHeight w:val="230"/>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 of interest rate swaps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Adjusted EBITDA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(11,367)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(11,557)</w:t>
            </w:r>
          </w:p>
        </w:tc>
      </w:tr>
      <w:tr>
        <w:trPr>
          <w:trHeight w:val="250"/>
        </w:trPr>
        <w:tc>
          <w:tcPr>
            <w:tcW w:w="6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4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Company Adjusted EBITDA</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66,567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91,607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57,191</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320" w:top="985" w:right="57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47"/>
        </w:trPr>
        <w:tc>
          <w:tcPr>
            <w:tcW w:w="3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Exhibit 99.2</w:t>
            </w:r>
          </w:p>
        </w:tc>
        <w:tc>
          <w:tcPr>
            <w:tcW w:w="0" w:type="dxa"/>
            <w:vAlign w:val="bottom"/>
          </w:tcPr>
          <w:p>
            <w:pPr>
              <w:spacing w:after="0"/>
              <w:rPr>
                <w:sz w:val="1"/>
                <w:szCs w:val="1"/>
                <w:color w:val="auto"/>
              </w:rPr>
            </w:pPr>
          </w:p>
        </w:tc>
      </w:tr>
      <w:tr>
        <w:trPr>
          <w:trHeight w:val="352"/>
        </w:trPr>
        <w:tc>
          <w:tcPr>
            <w:tcW w:w="3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60" w:type="dxa"/>
            <w:vAlign w:val="bottom"/>
            <w:gridSpan w:val="4"/>
          </w:tcPr>
          <w:p>
            <w:pPr>
              <w:jc w:val="right"/>
              <w:ind w:right="279"/>
              <w:spacing w:after="0"/>
              <w:rPr>
                <w:sz w:val="20"/>
                <w:szCs w:val="20"/>
                <w:color w:val="auto"/>
              </w:rPr>
            </w:pPr>
            <w:r>
              <w:rPr>
                <w:rFonts w:ascii="Arial" w:cs="Arial" w:eastAsia="Arial" w:hAnsi="Arial"/>
                <w:sz w:val="22"/>
                <w:szCs w:val="22"/>
                <w:b w:val="1"/>
                <w:bCs w:val="1"/>
                <w:color w:val="auto"/>
              </w:rPr>
              <w:t>Boise Cascade Company</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880" w:type="dxa"/>
            <w:vAlign w:val="bottom"/>
          </w:tcPr>
          <w:p>
            <w:pPr>
              <w:spacing w:after="0"/>
              <w:rPr>
                <w:sz w:val="24"/>
                <w:szCs w:val="24"/>
                <w:color w:val="auto"/>
              </w:rPr>
            </w:pPr>
          </w:p>
        </w:tc>
        <w:tc>
          <w:tcPr>
            <w:tcW w:w="3400" w:type="dxa"/>
            <w:vAlign w:val="bottom"/>
            <w:gridSpan w:val="6"/>
          </w:tcPr>
          <w:p>
            <w:pPr>
              <w:jc w:val="right"/>
              <w:spacing w:after="0"/>
              <w:rPr>
                <w:sz w:val="20"/>
                <w:szCs w:val="20"/>
                <w:color w:val="auto"/>
              </w:rPr>
            </w:pPr>
            <w:r>
              <w:rPr>
                <w:rFonts w:ascii="Arial" w:cs="Arial" w:eastAsia="Arial" w:hAnsi="Arial"/>
                <w:sz w:val="22"/>
                <w:szCs w:val="22"/>
                <w:b w:val="1"/>
                <w:bCs w:val="1"/>
                <w:color w:val="auto"/>
              </w:rPr>
              <w:t>Quarterly Statistical Information</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3880" w:type="dxa"/>
            <w:vAlign w:val="bottom"/>
          </w:tcPr>
          <w:p>
            <w:pPr>
              <w:ind w:left="20"/>
              <w:spacing w:after="0"/>
              <w:rPr>
                <w:sz w:val="20"/>
                <w:szCs w:val="20"/>
                <w:color w:val="auto"/>
              </w:rPr>
            </w:pPr>
            <w:r>
              <w:rPr>
                <w:rFonts w:ascii="Arial" w:cs="Arial" w:eastAsia="Arial" w:hAnsi="Arial"/>
                <w:sz w:val="20"/>
                <w:szCs w:val="20"/>
                <w:b w:val="1"/>
                <w:bCs w:val="1"/>
                <w:color w:val="auto"/>
              </w:rPr>
              <w:t>Building Materials Distribution Segment</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2026</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right"/>
              <w:ind w:right="538"/>
              <w:spacing w:after="0"/>
              <w:rPr>
                <w:sz w:val="20"/>
                <w:szCs w:val="20"/>
                <w:color w:val="auto"/>
              </w:rPr>
            </w:pPr>
            <w:r>
              <w:rPr>
                <w:rFonts w:ascii="Arial" w:cs="Arial" w:eastAsia="Arial" w:hAnsi="Arial"/>
                <w:sz w:val="16"/>
                <w:szCs w:val="16"/>
                <w:color w:val="auto"/>
              </w:rPr>
              <w:t>Q1</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539"/>
              <w:spacing w:after="0"/>
              <w:rPr>
                <w:sz w:val="20"/>
                <w:szCs w:val="20"/>
                <w:color w:val="auto"/>
              </w:rPr>
            </w:pPr>
            <w:r>
              <w:rPr>
                <w:rFonts w:ascii="Arial" w:cs="Arial" w:eastAsia="Arial" w:hAnsi="Arial"/>
                <w:sz w:val="16"/>
                <w:szCs w:val="16"/>
                <w:color w:val="auto"/>
              </w:rPr>
              <w:t>Q2</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Q3</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539"/>
              <w:spacing w:after="0"/>
              <w:rPr>
                <w:sz w:val="20"/>
                <w:szCs w:val="20"/>
                <w:color w:val="auto"/>
              </w:rPr>
            </w:pPr>
            <w:r>
              <w:rPr>
                <w:rFonts w:ascii="Arial" w:cs="Arial" w:eastAsia="Arial" w:hAnsi="Arial"/>
                <w:sz w:val="16"/>
                <w:szCs w:val="16"/>
                <w:color w:val="auto"/>
              </w:rPr>
              <w:t>Q4</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ind w:right="559"/>
              <w:spacing w:after="0"/>
              <w:rPr>
                <w:sz w:val="20"/>
                <w:szCs w:val="20"/>
                <w:color w:val="auto"/>
              </w:rPr>
            </w:pPr>
            <w:r>
              <w:rPr>
                <w:rFonts w:ascii="Arial" w:cs="Arial" w:eastAsia="Arial" w:hAnsi="Arial"/>
                <w:sz w:val="16"/>
                <w:szCs w:val="16"/>
                <w:color w:val="auto"/>
              </w:rPr>
              <w:t>YTD</w:t>
            </w: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ind w:left="80"/>
              <w:spacing w:after="0" w:line="210" w:lineRule="exact"/>
              <w:rPr>
                <w:sz w:val="20"/>
                <w:szCs w:val="20"/>
                <w:color w:val="auto"/>
              </w:rPr>
            </w:pPr>
            <w:r>
              <w:rPr>
                <w:rFonts w:ascii="Arial" w:cs="Arial" w:eastAsia="Arial" w:hAnsi="Arial"/>
                <w:sz w:val="16"/>
                <w:szCs w:val="16"/>
                <w:color w:val="auto"/>
              </w:rPr>
              <w:t>General line sales</w:t>
            </w:r>
            <w:r>
              <w:rPr>
                <w:rFonts w:ascii="Arial" w:cs="Arial" w:eastAsia="Arial" w:hAnsi="Arial"/>
                <w:sz w:val="21"/>
                <w:szCs w:val="21"/>
                <w:color w:val="auto"/>
                <w:vertAlign w:val="superscript"/>
              </w:rPr>
              <w:t>1</w:t>
            </w:r>
          </w:p>
        </w:tc>
        <w:tc>
          <w:tcPr>
            <w:tcW w:w="1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45.0 %</w:t>
            </w:r>
          </w:p>
        </w:tc>
        <w:tc>
          <w:tcPr>
            <w:tcW w:w="28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45.0 %</w:t>
            </w:r>
          </w:p>
        </w:tc>
        <w:tc>
          <w:tcPr>
            <w:tcW w:w="0" w:type="dxa"/>
            <w:vAlign w:val="bottom"/>
          </w:tcPr>
          <w:p>
            <w:pPr>
              <w:spacing w:after="0"/>
              <w:rPr>
                <w:sz w:val="1"/>
                <w:szCs w:val="1"/>
                <w:color w:val="auto"/>
              </w:rPr>
            </w:pPr>
          </w:p>
        </w:tc>
      </w:tr>
      <w:tr>
        <w:trPr>
          <w:trHeight w:val="216"/>
        </w:trPr>
        <w:tc>
          <w:tcPr>
            <w:tcW w:w="3880" w:type="dxa"/>
            <w:vAlign w:val="bottom"/>
          </w:tcPr>
          <w:p>
            <w:pPr>
              <w:ind w:left="80"/>
              <w:spacing w:after="0" w:line="216" w:lineRule="exact"/>
              <w:rPr>
                <w:sz w:val="20"/>
                <w:szCs w:val="20"/>
                <w:color w:val="auto"/>
              </w:rPr>
            </w:pPr>
            <w:r>
              <w:rPr>
                <w:rFonts w:ascii="Arial" w:cs="Arial" w:eastAsia="Arial" w:hAnsi="Arial"/>
                <w:sz w:val="16"/>
                <w:szCs w:val="16"/>
                <w:color w:val="auto"/>
              </w:rPr>
              <w:t>Commodity sales</w:t>
            </w:r>
            <w:r>
              <w:rPr>
                <w:rFonts w:ascii="Arial" w:cs="Arial" w:eastAsia="Arial" w:hAnsi="Arial"/>
                <w:sz w:val="21"/>
                <w:szCs w:val="21"/>
                <w:color w:val="auto"/>
                <w:vertAlign w:val="superscript"/>
              </w:rPr>
              <w:t>1</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35.5 %</w:t>
            </w:r>
          </w:p>
        </w:tc>
        <w:tc>
          <w:tcPr>
            <w:tcW w:w="28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35.5 %</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80"/>
              <w:spacing w:after="0" w:line="216" w:lineRule="exact"/>
              <w:rPr>
                <w:sz w:val="20"/>
                <w:szCs w:val="20"/>
                <w:color w:val="auto"/>
              </w:rPr>
            </w:pPr>
            <w:r>
              <w:rPr>
                <w:rFonts w:ascii="Arial" w:cs="Arial" w:eastAsia="Arial" w:hAnsi="Arial"/>
                <w:sz w:val="16"/>
                <w:szCs w:val="16"/>
                <w:color w:val="auto"/>
              </w:rPr>
              <w:t>EWP sales</w:t>
            </w:r>
            <w:r>
              <w:rPr>
                <w:rFonts w:ascii="Arial" w:cs="Arial" w:eastAsia="Arial" w:hAnsi="Arial"/>
                <w:sz w:val="21"/>
                <w:szCs w:val="21"/>
                <w:color w:val="auto"/>
                <w:vertAlign w:val="superscript"/>
              </w:rPr>
              <w:t>1</w:t>
            </w:r>
          </w:p>
        </w:tc>
        <w:tc>
          <w:tcPr>
            <w:tcW w:w="1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19.5 %</w:t>
            </w:r>
          </w:p>
        </w:tc>
        <w:tc>
          <w:tcPr>
            <w:tcW w:w="28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19.5 %</w:t>
            </w:r>
          </w:p>
        </w:tc>
        <w:tc>
          <w:tcPr>
            <w:tcW w:w="0" w:type="dxa"/>
            <w:vAlign w:val="bottom"/>
          </w:tcPr>
          <w:p>
            <w:pPr>
              <w:spacing w:after="0"/>
              <w:rPr>
                <w:sz w:val="1"/>
                <w:szCs w:val="1"/>
                <w:color w:val="auto"/>
              </w:rPr>
            </w:pPr>
          </w:p>
        </w:tc>
      </w:tr>
      <w:tr>
        <w:trPr>
          <w:trHeight w:val="215"/>
        </w:trPr>
        <w:tc>
          <w:tcPr>
            <w:tcW w:w="3880" w:type="dxa"/>
            <w:vAlign w:val="bottom"/>
          </w:tcPr>
          <w:p>
            <w:pPr>
              <w:ind w:left="60"/>
              <w:spacing w:after="0"/>
              <w:rPr>
                <w:sz w:val="20"/>
                <w:szCs w:val="20"/>
                <w:color w:val="auto"/>
              </w:rPr>
            </w:pPr>
            <w:r>
              <w:rPr>
                <w:rFonts w:ascii="Arial" w:cs="Arial" w:eastAsia="Arial" w:hAnsi="Arial"/>
                <w:sz w:val="16"/>
                <w:szCs w:val="16"/>
                <w:color w:val="auto"/>
              </w:rPr>
              <w:t>Total sales (000)</w:t>
            </w:r>
          </w:p>
        </w:tc>
        <w:tc>
          <w:tcPr>
            <w:tcW w:w="140" w:type="dxa"/>
            <w:vAlign w:val="bottom"/>
            <w:tcBorders>
              <w:right w:val="single" w:sz="8" w:color="auto"/>
            </w:tcBorders>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right w:val="single" w:sz="8" w:color="auto"/>
            </w:tcBorders>
          </w:tcPr>
          <w:p>
            <w:pPr>
              <w:jc w:val="right"/>
              <w:ind w:right="158"/>
              <w:spacing w:after="0"/>
              <w:rPr>
                <w:sz w:val="20"/>
                <w:szCs w:val="20"/>
                <w:color w:val="auto"/>
              </w:rPr>
            </w:pPr>
            <w:r>
              <w:rPr>
                <w:rFonts w:ascii="Arial" w:cs="Arial" w:eastAsia="Arial" w:hAnsi="Arial"/>
                <w:sz w:val="16"/>
                <w:szCs w:val="16"/>
                <w:color w:val="auto"/>
              </w:rPr>
              <w:t>1,388,948</w:t>
            </w:r>
          </w:p>
        </w:tc>
        <w:tc>
          <w:tcPr>
            <w:tcW w:w="28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1,388,948</w:t>
            </w:r>
          </w:p>
        </w:tc>
        <w:tc>
          <w:tcPr>
            <w:tcW w:w="0" w:type="dxa"/>
            <w:vAlign w:val="bottom"/>
          </w:tcPr>
          <w:p>
            <w:pPr>
              <w:spacing w:after="0"/>
              <w:rPr>
                <w:sz w:val="1"/>
                <w:szCs w:val="1"/>
                <w:color w:val="auto"/>
              </w:rPr>
            </w:pPr>
          </w:p>
        </w:tc>
      </w:tr>
      <w:tr>
        <w:trPr>
          <w:trHeight w:val="217"/>
        </w:trPr>
        <w:tc>
          <w:tcPr>
            <w:tcW w:w="3880" w:type="dxa"/>
            <w:vAlign w:val="bottom"/>
            <w:shd w:val="clear" w:color="auto" w:fill="CCEEFF"/>
          </w:tcPr>
          <w:p>
            <w:pPr>
              <w:ind w:left="80"/>
              <w:spacing w:after="0" w:line="217" w:lineRule="exact"/>
              <w:rPr>
                <w:sz w:val="20"/>
                <w:szCs w:val="20"/>
                <w:color w:val="auto"/>
              </w:rPr>
            </w:pPr>
            <w:r>
              <w:rPr>
                <w:rFonts w:ascii="Arial" w:cs="Arial" w:eastAsia="Arial" w:hAnsi="Arial"/>
                <w:sz w:val="16"/>
                <w:szCs w:val="16"/>
                <w:color w:val="auto"/>
              </w:rPr>
              <w:t>Gross margin</w:t>
            </w:r>
            <w:r>
              <w:rPr>
                <w:rFonts w:ascii="Arial" w:cs="Arial" w:eastAsia="Arial" w:hAnsi="Arial"/>
                <w:sz w:val="21"/>
                <w:szCs w:val="21"/>
                <w:color w:val="auto"/>
                <w:vertAlign w:val="superscript"/>
              </w:rPr>
              <w:t>2</w:t>
            </w:r>
          </w:p>
        </w:tc>
        <w:tc>
          <w:tcPr>
            <w:tcW w:w="1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14.4 %</w:t>
            </w:r>
          </w:p>
        </w:tc>
        <w:tc>
          <w:tcPr>
            <w:tcW w:w="28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14.4 %</w:t>
            </w:r>
          </w:p>
        </w:tc>
        <w:tc>
          <w:tcPr>
            <w:tcW w:w="0" w:type="dxa"/>
            <w:vAlign w:val="bottom"/>
          </w:tcPr>
          <w:p>
            <w:pPr>
              <w:spacing w:after="0"/>
              <w:rPr>
                <w:sz w:val="1"/>
                <w:szCs w:val="1"/>
                <w:color w:val="auto"/>
              </w:rPr>
            </w:pPr>
          </w:p>
        </w:tc>
      </w:tr>
      <w:tr>
        <w:trPr>
          <w:trHeight w:val="215"/>
        </w:trPr>
        <w:tc>
          <w:tcPr>
            <w:tcW w:w="3880" w:type="dxa"/>
            <w:vAlign w:val="bottom"/>
          </w:tcPr>
          <w:p>
            <w:pPr>
              <w:ind w:left="80"/>
              <w:spacing w:after="0"/>
              <w:rPr>
                <w:sz w:val="20"/>
                <w:szCs w:val="20"/>
                <w:color w:val="auto"/>
              </w:rPr>
            </w:pPr>
            <w:r>
              <w:rPr>
                <w:rFonts w:ascii="Arial" w:cs="Arial" w:eastAsia="Arial" w:hAnsi="Arial"/>
                <w:sz w:val="16"/>
                <w:szCs w:val="16"/>
                <w:color w:val="auto"/>
              </w:rPr>
              <w:t>Segment income (000)</w:t>
            </w:r>
          </w:p>
        </w:tc>
        <w:tc>
          <w:tcPr>
            <w:tcW w:w="140" w:type="dxa"/>
            <w:vAlign w:val="bottom"/>
            <w:tcBorders>
              <w:right w:val="single" w:sz="8" w:color="auto"/>
            </w:tcBorders>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right w:val="single" w:sz="8" w:color="auto"/>
            </w:tcBorders>
          </w:tcPr>
          <w:p>
            <w:pPr>
              <w:jc w:val="right"/>
              <w:ind w:right="158"/>
              <w:spacing w:after="0"/>
              <w:rPr>
                <w:sz w:val="20"/>
                <w:szCs w:val="20"/>
                <w:color w:val="auto"/>
              </w:rPr>
            </w:pPr>
            <w:r>
              <w:rPr>
                <w:rFonts w:ascii="Arial" w:cs="Arial" w:eastAsia="Arial" w:hAnsi="Arial"/>
                <w:sz w:val="16"/>
                <w:szCs w:val="16"/>
                <w:color w:val="auto"/>
              </w:rPr>
              <w:t>32,942</w:t>
            </w:r>
          </w:p>
        </w:tc>
        <w:tc>
          <w:tcPr>
            <w:tcW w:w="28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32,942</w:t>
            </w:r>
          </w:p>
        </w:tc>
        <w:tc>
          <w:tcPr>
            <w:tcW w:w="0" w:type="dxa"/>
            <w:vAlign w:val="bottom"/>
          </w:tcPr>
          <w:p>
            <w:pPr>
              <w:spacing w:after="0"/>
              <w:rPr>
                <w:sz w:val="1"/>
                <w:szCs w:val="1"/>
                <w:color w:val="auto"/>
              </w:rPr>
            </w:pPr>
          </w:p>
        </w:tc>
      </w:tr>
      <w:tr>
        <w:trPr>
          <w:trHeight w:val="217"/>
        </w:trPr>
        <w:tc>
          <w:tcPr>
            <w:tcW w:w="3880" w:type="dxa"/>
            <w:vAlign w:val="bottom"/>
            <w:shd w:val="clear" w:color="auto" w:fill="CCEEFF"/>
          </w:tcPr>
          <w:p>
            <w:pPr>
              <w:ind w:left="80"/>
              <w:spacing w:after="0"/>
              <w:rPr>
                <w:sz w:val="20"/>
                <w:szCs w:val="20"/>
                <w:color w:val="auto"/>
              </w:rPr>
            </w:pPr>
            <w:r>
              <w:rPr>
                <w:rFonts w:ascii="Arial" w:cs="Arial" w:eastAsia="Arial" w:hAnsi="Arial"/>
                <w:sz w:val="16"/>
                <w:szCs w:val="16"/>
                <w:color w:val="auto"/>
              </w:rPr>
              <w:t>Segment depreciation and amortization (000)</w:t>
            </w:r>
          </w:p>
        </w:tc>
        <w:tc>
          <w:tcPr>
            <w:tcW w:w="1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right w:val="single" w:sz="8" w:color="auto"/>
            </w:tcBorders>
            <w:shd w:val="clear" w:color="auto" w:fill="CCEEFF"/>
          </w:tcPr>
          <w:p>
            <w:pPr>
              <w:jc w:val="right"/>
              <w:ind w:right="158"/>
              <w:spacing w:after="0"/>
              <w:rPr>
                <w:sz w:val="20"/>
                <w:szCs w:val="20"/>
                <w:color w:val="auto"/>
              </w:rPr>
            </w:pPr>
            <w:r>
              <w:rPr>
                <w:rFonts w:ascii="Arial" w:cs="Arial" w:eastAsia="Arial" w:hAnsi="Arial"/>
                <w:sz w:val="16"/>
                <w:szCs w:val="16"/>
                <w:color w:val="auto"/>
              </w:rPr>
              <w:t>15,283</w:t>
            </w:r>
          </w:p>
        </w:tc>
        <w:tc>
          <w:tcPr>
            <w:tcW w:w="28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15,283</w:t>
            </w:r>
          </w:p>
        </w:tc>
        <w:tc>
          <w:tcPr>
            <w:tcW w:w="0" w:type="dxa"/>
            <w:vAlign w:val="bottom"/>
          </w:tcPr>
          <w:p>
            <w:pPr>
              <w:spacing w:after="0"/>
              <w:rPr>
                <w:sz w:val="1"/>
                <w:szCs w:val="1"/>
                <w:color w:val="auto"/>
              </w:rPr>
            </w:pPr>
          </w:p>
        </w:tc>
      </w:tr>
      <w:tr>
        <w:trPr>
          <w:trHeight w:val="216"/>
        </w:trPr>
        <w:tc>
          <w:tcPr>
            <w:tcW w:w="3880" w:type="dxa"/>
            <w:vAlign w:val="bottom"/>
          </w:tcPr>
          <w:p>
            <w:pPr>
              <w:ind w:left="80"/>
              <w:spacing w:after="0" w:line="216" w:lineRule="exact"/>
              <w:rPr>
                <w:sz w:val="20"/>
                <w:szCs w:val="20"/>
                <w:color w:val="auto"/>
              </w:rPr>
            </w:pPr>
            <w:r>
              <w:rPr>
                <w:rFonts w:ascii="Arial" w:cs="Arial" w:eastAsia="Arial" w:hAnsi="Arial"/>
                <w:sz w:val="16"/>
                <w:szCs w:val="16"/>
                <w:color w:val="auto"/>
              </w:rPr>
              <w:t>Segment EBITDA (000)</w:t>
            </w:r>
            <w:r>
              <w:rPr>
                <w:rFonts w:ascii="Arial" w:cs="Arial" w:eastAsia="Arial" w:hAnsi="Arial"/>
                <w:sz w:val="21"/>
                <w:szCs w:val="21"/>
                <w:color w:val="auto"/>
                <w:vertAlign w:val="superscript"/>
              </w:rPr>
              <w:t>3</w:t>
            </w:r>
          </w:p>
        </w:tc>
        <w:tc>
          <w:tcPr>
            <w:tcW w:w="140" w:type="dxa"/>
            <w:vAlign w:val="bottom"/>
            <w:tcBorders>
              <w:right w:val="single" w:sz="8" w:color="auto"/>
            </w:tcBorders>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right w:val="single" w:sz="8" w:color="auto"/>
            </w:tcBorders>
          </w:tcPr>
          <w:p>
            <w:pPr>
              <w:jc w:val="right"/>
              <w:ind w:right="158"/>
              <w:spacing w:after="0"/>
              <w:rPr>
                <w:sz w:val="20"/>
                <w:szCs w:val="20"/>
                <w:color w:val="auto"/>
              </w:rPr>
            </w:pPr>
            <w:r>
              <w:rPr>
                <w:rFonts w:ascii="Arial" w:cs="Arial" w:eastAsia="Arial" w:hAnsi="Arial"/>
                <w:sz w:val="16"/>
                <w:szCs w:val="16"/>
                <w:color w:val="auto"/>
              </w:rPr>
              <w:t>48,225</w:t>
            </w:r>
          </w:p>
        </w:tc>
        <w:tc>
          <w:tcPr>
            <w:tcW w:w="28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48,225</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80"/>
              <w:spacing w:after="0"/>
              <w:rPr>
                <w:sz w:val="20"/>
                <w:szCs w:val="20"/>
                <w:color w:val="auto"/>
              </w:rPr>
            </w:pPr>
            <w:r>
              <w:rPr>
                <w:rFonts w:ascii="Arial" w:cs="Arial" w:eastAsia="Arial" w:hAnsi="Arial"/>
                <w:sz w:val="16"/>
                <w:szCs w:val="16"/>
                <w:color w:val="auto"/>
              </w:rPr>
              <w:t>EBITDA as a percentage of sales</w:t>
            </w:r>
          </w:p>
        </w:tc>
        <w:tc>
          <w:tcPr>
            <w:tcW w:w="1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28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216"/>
        </w:trPr>
        <w:tc>
          <w:tcPr>
            <w:tcW w:w="3880" w:type="dxa"/>
            <w:vAlign w:val="bottom"/>
          </w:tcPr>
          <w:p>
            <w:pPr>
              <w:ind w:left="80"/>
              <w:spacing w:after="0" w:line="216" w:lineRule="exact"/>
              <w:rPr>
                <w:sz w:val="20"/>
                <w:szCs w:val="20"/>
                <w:color w:val="auto"/>
              </w:rPr>
            </w:pPr>
            <w:r>
              <w:rPr>
                <w:rFonts w:ascii="Arial" w:cs="Arial" w:eastAsia="Arial" w:hAnsi="Arial"/>
                <w:sz w:val="16"/>
                <w:szCs w:val="16"/>
                <w:color w:val="auto"/>
              </w:rPr>
              <w:t>Capital spending (000)</w:t>
            </w:r>
            <w:r>
              <w:rPr>
                <w:rFonts w:ascii="Arial" w:cs="Arial" w:eastAsia="Arial" w:hAnsi="Arial"/>
                <w:sz w:val="21"/>
                <w:szCs w:val="21"/>
                <w:color w:val="auto"/>
                <w:vertAlign w:val="superscript"/>
              </w:rPr>
              <w:t>4</w:t>
            </w:r>
          </w:p>
        </w:tc>
        <w:tc>
          <w:tcPr>
            <w:tcW w:w="140" w:type="dxa"/>
            <w:vAlign w:val="bottom"/>
            <w:tcBorders>
              <w:right w:val="single" w:sz="8" w:color="auto"/>
            </w:tcBorders>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right w:val="single" w:sz="8" w:color="auto"/>
            </w:tcBorders>
          </w:tcPr>
          <w:p>
            <w:pPr>
              <w:jc w:val="right"/>
              <w:ind w:right="158"/>
              <w:spacing w:after="0"/>
              <w:rPr>
                <w:sz w:val="20"/>
                <w:szCs w:val="20"/>
                <w:color w:val="auto"/>
              </w:rPr>
            </w:pPr>
            <w:r>
              <w:rPr>
                <w:rFonts w:ascii="Arial" w:cs="Arial" w:eastAsia="Arial" w:hAnsi="Arial"/>
                <w:sz w:val="16"/>
                <w:szCs w:val="16"/>
                <w:color w:val="auto"/>
              </w:rPr>
              <w:t>25,394</w:t>
            </w:r>
          </w:p>
        </w:tc>
        <w:tc>
          <w:tcPr>
            <w:tcW w:w="28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25,394</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Receivables (000)</w:t>
            </w:r>
          </w:p>
        </w:tc>
        <w:tc>
          <w:tcPr>
            <w:tcW w:w="1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right w:val="single" w:sz="8" w:color="auto"/>
            </w:tcBorders>
            <w:shd w:val="clear" w:color="auto" w:fill="CCEEFF"/>
          </w:tcPr>
          <w:p>
            <w:pPr>
              <w:jc w:val="right"/>
              <w:ind w:right="158"/>
              <w:spacing w:after="0"/>
              <w:rPr>
                <w:sz w:val="20"/>
                <w:szCs w:val="20"/>
                <w:color w:val="auto"/>
              </w:rPr>
            </w:pPr>
            <w:r>
              <w:rPr>
                <w:rFonts w:ascii="Arial" w:cs="Arial" w:eastAsia="Arial" w:hAnsi="Arial"/>
                <w:sz w:val="16"/>
                <w:szCs w:val="16"/>
                <w:color w:val="auto"/>
              </w:rPr>
              <w:t>446,083</w:t>
            </w:r>
          </w:p>
        </w:tc>
        <w:tc>
          <w:tcPr>
            <w:tcW w:w="28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tcPr>
          <w:p>
            <w:pPr>
              <w:ind w:left="80"/>
              <w:spacing w:after="0"/>
              <w:rPr>
                <w:sz w:val="20"/>
                <w:szCs w:val="20"/>
                <w:color w:val="auto"/>
              </w:rPr>
            </w:pPr>
            <w:r>
              <w:rPr>
                <w:rFonts w:ascii="Arial" w:cs="Arial" w:eastAsia="Arial" w:hAnsi="Arial"/>
                <w:sz w:val="16"/>
                <w:szCs w:val="16"/>
                <w:color w:val="auto"/>
              </w:rPr>
              <w:t>Inventories (000)</w:t>
            </w:r>
          </w:p>
        </w:tc>
        <w:tc>
          <w:tcPr>
            <w:tcW w:w="140" w:type="dxa"/>
            <w:vAlign w:val="bottom"/>
            <w:tcBorders>
              <w:right w:val="single" w:sz="8" w:color="auto"/>
            </w:tcBorders>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right w:val="single" w:sz="8" w:color="auto"/>
            </w:tcBorders>
          </w:tcPr>
          <w:p>
            <w:pPr>
              <w:jc w:val="right"/>
              <w:ind w:right="158"/>
              <w:spacing w:after="0"/>
              <w:rPr>
                <w:sz w:val="20"/>
                <w:szCs w:val="20"/>
                <w:color w:val="auto"/>
              </w:rPr>
            </w:pPr>
            <w:r>
              <w:rPr>
                <w:rFonts w:ascii="Arial" w:cs="Arial" w:eastAsia="Arial" w:hAnsi="Arial"/>
                <w:sz w:val="16"/>
                <w:szCs w:val="16"/>
                <w:color w:val="auto"/>
              </w:rPr>
              <w:t>635,409</w:t>
            </w:r>
          </w:p>
        </w:tc>
        <w:tc>
          <w:tcPr>
            <w:tcW w:w="28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60"/>
              <w:spacing w:after="0"/>
              <w:rPr>
                <w:sz w:val="20"/>
                <w:szCs w:val="20"/>
                <w:color w:val="auto"/>
              </w:rPr>
            </w:pPr>
            <w:r>
              <w:rPr>
                <w:rFonts w:ascii="Arial" w:cs="Arial" w:eastAsia="Arial" w:hAnsi="Arial"/>
                <w:sz w:val="16"/>
                <w:szCs w:val="16"/>
                <w:color w:val="auto"/>
              </w:rPr>
              <w:t>Accounts payable (000)</w:t>
            </w:r>
          </w:p>
        </w:tc>
        <w:tc>
          <w:tcPr>
            <w:tcW w:w="140" w:type="dxa"/>
            <w:vAlign w:val="bottom"/>
            <w:tcBorders>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right w:val="single" w:sz="8" w:color="auto"/>
            </w:tcBorders>
            <w:shd w:val="clear" w:color="auto" w:fill="CCEEFF"/>
          </w:tcPr>
          <w:p>
            <w:pPr>
              <w:jc w:val="right"/>
              <w:ind w:right="158"/>
              <w:spacing w:after="0"/>
              <w:rPr>
                <w:sz w:val="20"/>
                <w:szCs w:val="20"/>
                <w:color w:val="auto"/>
              </w:rPr>
            </w:pPr>
            <w:r>
              <w:rPr>
                <w:rFonts w:ascii="Arial" w:cs="Arial" w:eastAsia="Arial" w:hAnsi="Arial"/>
                <w:sz w:val="16"/>
                <w:szCs w:val="16"/>
                <w:color w:val="auto"/>
              </w:rPr>
              <w:t>392,747</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3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8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right"/>
              <w:ind w:right="538"/>
              <w:spacing w:after="0"/>
              <w:rPr>
                <w:sz w:val="20"/>
                <w:szCs w:val="20"/>
                <w:color w:val="auto"/>
              </w:rPr>
            </w:pPr>
            <w:r>
              <w:rPr>
                <w:rFonts w:ascii="Arial" w:cs="Arial" w:eastAsia="Arial" w:hAnsi="Arial"/>
                <w:sz w:val="16"/>
                <w:szCs w:val="16"/>
                <w:color w:val="auto"/>
              </w:rPr>
              <w:t>Q1</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539"/>
              <w:spacing w:after="0"/>
              <w:rPr>
                <w:sz w:val="20"/>
                <w:szCs w:val="20"/>
                <w:color w:val="auto"/>
              </w:rPr>
            </w:pPr>
            <w:r>
              <w:rPr>
                <w:rFonts w:ascii="Arial" w:cs="Arial" w:eastAsia="Arial" w:hAnsi="Arial"/>
                <w:sz w:val="16"/>
                <w:szCs w:val="16"/>
                <w:color w:val="auto"/>
              </w:rPr>
              <w:t>Q2</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Q3</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539"/>
              <w:spacing w:after="0"/>
              <w:rPr>
                <w:sz w:val="20"/>
                <w:szCs w:val="20"/>
                <w:color w:val="auto"/>
              </w:rPr>
            </w:pPr>
            <w:r>
              <w:rPr>
                <w:rFonts w:ascii="Arial" w:cs="Arial" w:eastAsia="Arial" w:hAnsi="Arial"/>
                <w:sz w:val="16"/>
                <w:szCs w:val="16"/>
                <w:color w:val="auto"/>
              </w:rPr>
              <w:t>Q4</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ind w:right="559"/>
              <w:spacing w:after="0"/>
              <w:rPr>
                <w:sz w:val="20"/>
                <w:szCs w:val="20"/>
                <w:color w:val="auto"/>
              </w:rPr>
            </w:pPr>
            <w:r>
              <w:rPr>
                <w:rFonts w:ascii="Arial" w:cs="Arial" w:eastAsia="Arial" w:hAnsi="Arial"/>
                <w:sz w:val="16"/>
                <w:szCs w:val="16"/>
                <w:color w:val="auto"/>
              </w:rPr>
              <w:t>YTD</w:t>
            </w: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ind w:left="80"/>
              <w:spacing w:after="0" w:line="210" w:lineRule="exact"/>
              <w:rPr>
                <w:sz w:val="20"/>
                <w:szCs w:val="20"/>
                <w:color w:val="auto"/>
              </w:rPr>
            </w:pPr>
            <w:r>
              <w:rPr>
                <w:rFonts w:ascii="Arial" w:cs="Arial" w:eastAsia="Arial" w:hAnsi="Arial"/>
                <w:sz w:val="16"/>
                <w:szCs w:val="16"/>
                <w:color w:val="auto"/>
              </w:rPr>
              <w:t>General line sales</w:t>
            </w:r>
            <w:r>
              <w:rPr>
                <w:rFonts w:ascii="Arial" w:cs="Arial" w:eastAsia="Arial" w:hAnsi="Arial"/>
                <w:sz w:val="21"/>
                <w:szCs w:val="21"/>
                <w:color w:val="auto"/>
                <w:vertAlign w:val="superscript"/>
              </w:rPr>
              <w:t>1</w:t>
            </w:r>
          </w:p>
        </w:tc>
        <w:tc>
          <w:tcPr>
            <w:tcW w:w="1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42.6 %</w:t>
            </w:r>
          </w:p>
        </w:tc>
        <w:tc>
          <w:tcPr>
            <w:tcW w:w="28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45.4 %</w:t>
            </w:r>
          </w:p>
        </w:tc>
        <w:tc>
          <w:tcPr>
            <w:tcW w:w="44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46.7 %</w:t>
            </w:r>
          </w:p>
        </w:tc>
        <w:tc>
          <w:tcPr>
            <w:tcW w:w="30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46.0 %</w:t>
            </w:r>
          </w:p>
        </w:tc>
        <w:tc>
          <w:tcPr>
            <w:tcW w:w="340" w:type="dxa"/>
            <w:vAlign w:val="bottom"/>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45.2 %</w:t>
            </w:r>
          </w:p>
        </w:tc>
        <w:tc>
          <w:tcPr>
            <w:tcW w:w="0" w:type="dxa"/>
            <w:vAlign w:val="bottom"/>
          </w:tcPr>
          <w:p>
            <w:pPr>
              <w:spacing w:after="0"/>
              <w:rPr>
                <w:sz w:val="1"/>
                <w:szCs w:val="1"/>
                <w:color w:val="auto"/>
              </w:rPr>
            </w:pPr>
          </w:p>
        </w:tc>
      </w:tr>
      <w:tr>
        <w:trPr>
          <w:trHeight w:val="216"/>
        </w:trPr>
        <w:tc>
          <w:tcPr>
            <w:tcW w:w="3880" w:type="dxa"/>
            <w:vAlign w:val="bottom"/>
          </w:tcPr>
          <w:p>
            <w:pPr>
              <w:ind w:left="80"/>
              <w:spacing w:after="0" w:line="216" w:lineRule="exact"/>
              <w:rPr>
                <w:sz w:val="20"/>
                <w:szCs w:val="20"/>
                <w:color w:val="auto"/>
              </w:rPr>
            </w:pPr>
            <w:r>
              <w:rPr>
                <w:rFonts w:ascii="Arial" w:cs="Arial" w:eastAsia="Arial" w:hAnsi="Arial"/>
                <w:sz w:val="16"/>
                <w:szCs w:val="16"/>
                <w:color w:val="auto"/>
              </w:rPr>
              <w:t>Commodity sales</w:t>
            </w:r>
            <w:r>
              <w:rPr>
                <w:rFonts w:ascii="Arial" w:cs="Arial" w:eastAsia="Arial" w:hAnsi="Arial"/>
                <w:sz w:val="21"/>
                <w:szCs w:val="21"/>
                <w:color w:val="auto"/>
                <w:vertAlign w:val="superscript"/>
              </w:rPr>
              <w:t>1</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36.7 %</w:t>
            </w:r>
          </w:p>
        </w:tc>
        <w:tc>
          <w:tcPr>
            <w:tcW w:w="280" w:type="dxa"/>
            <w:vAlign w:val="bottom"/>
          </w:tcPr>
          <w:p>
            <w:pPr>
              <w:spacing w:after="0"/>
              <w:rPr>
                <w:sz w:val="18"/>
                <w:szCs w:val="18"/>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34.2 %</w:t>
            </w:r>
          </w:p>
        </w:tc>
        <w:tc>
          <w:tcPr>
            <w:tcW w:w="44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34.2 %</w:t>
            </w:r>
          </w:p>
        </w:tc>
        <w:tc>
          <w:tcPr>
            <w:tcW w:w="300" w:type="dxa"/>
            <w:vAlign w:val="bottom"/>
          </w:tcPr>
          <w:p>
            <w:pPr>
              <w:spacing w:after="0"/>
              <w:rPr>
                <w:sz w:val="18"/>
                <w:szCs w:val="18"/>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35.2 %</w:t>
            </w:r>
          </w:p>
        </w:tc>
        <w:tc>
          <w:tcPr>
            <w:tcW w:w="340" w:type="dxa"/>
            <w:vAlign w:val="bottom"/>
          </w:tcPr>
          <w:p>
            <w:pPr>
              <w:spacing w:after="0"/>
              <w:rPr>
                <w:sz w:val="18"/>
                <w:szCs w:val="18"/>
                <w:color w:val="auto"/>
              </w:rPr>
            </w:pP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35.0 %</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80"/>
              <w:spacing w:after="0" w:line="216" w:lineRule="exact"/>
              <w:rPr>
                <w:sz w:val="20"/>
                <w:szCs w:val="20"/>
                <w:color w:val="auto"/>
              </w:rPr>
            </w:pPr>
            <w:r>
              <w:rPr>
                <w:rFonts w:ascii="Arial" w:cs="Arial" w:eastAsia="Arial" w:hAnsi="Arial"/>
                <w:sz w:val="16"/>
                <w:szCs w:val="16"/>
                <w:color w:val="auto"/>
              </w:rPr>
              <w:t>EWP sales</w:t>
            </w:r>
            <w:r>
              <w:rPr>
                <w:rFonts w:ascii="Arial" w:cs="Arial" w:eastAsia="Arial" w:hAnsi="Arial"/>
                <w:sz w:val="21"/>
                <w:szCs w:val="21"/>
                <w:color w:val="auto"/>
                <w:vertAlign w:val="superscript"/>
              </w:rPr>
              <w:t>1</w:t>
            </w:r>
          </w:p>
        </w:tc>
        <w:tc>
          <w:tcPr>
            <w:tcW w:w="1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20.7 %</w:t>
            </w:r>
          </w:p>
        </w:tc>
        <w:tc>
          <w:tcPr>
            <w:tcW w:w="28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20.4 %</w:t>
            </w:r>
          </w:p>
        </w:tc>
        <w:tc>
          <w:tcPr>
            <w:tcW w:w="44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19.1 %</w:t>
            </w:r>
          </w:p>
        </w:tc>
        <w:tc>
          <w:tcPr>
            <w:tcW w:w="30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18.8 %</w:t>
            </w:r>
          </w:p>
        </w:tc>
        <w:tc>
          <w:tcPr>
            <w:tcW w:w="340" w:type="dxa"/>
            <w:vAlign w:val="bottom"/>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19.8 %</w:t>
            </w:r>
          </w:p>
        </w:tc>
        <w:tc>
          <w:tcPr>
            <w:tcW w:w="0" w:type="dxa"/>
            <w:vAlign w:val="bottom"/>
          </w:tcPr>
          <w:p>
            <w:pPr>
              <w:spacing w:after="0"/>
              <w:rPr>
                <w:sz w:val="1"/>
                <w:szCs w:val="1"/>
                <w:color w:val="auto"/>
              </w:rPr>
            </w:pPr>
          </w:p>
        </w:tc>
      </w:tr>
      <w:tr>
        <w:trPr>
          <w:trHeight w:val="215"/>
        </w:trPr>
        <w:tc>
          <w:tcPr>
            <w:tcW w:w="3880" w:type="dxa"/>
            <w:vAlign w:val="bottom"/>
          </w:tcPr>
          <w:p>
            <w:pPr>
              <w:ind w:left="60"/>
              <w:spacing w:after="0"/>
              <w:rPr>
                <w:sz w:val="20"/>
                <w:szCs w:val="20"/>
                <w:color w:val="auto"/>
              </w:rPr>
            </w:pPr>
            <w:r>
              <w:rPr>
                <w:rFonts w:ascii="Arial" w:cs="Arial" w:eastAsia="Arial" w:hAnsi="Arial"/>
                <w:sz w:val="16"/>
                <w:szCs w:val="16"/>
                <w:color w:val="auto"/>
              </w:rPr>
              <w:t>Total sales (000)</w:t>
            </w:r>
          </w:p>
        </w:tc>
        <w:tc>
          <w:tcPr>
            <w:tcW w:w="140" w:type="dxa"/>
            <w:vAlign w:val="bottom"/>
            <w:tcBorders>
              <w:right w:val="single" w:sz="8" w:color="auto"/>
            </w:tcBorders>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right w:val="single" w:sz="8" w:color="auto"/>
            </w:tcBorders>
          </w:tcPr>
          <w:p>
            <w:pPr>
              <w:jc w:val="right"/>
              <w:ind w:right="158"/>
              <w:spacing w:after="0"/>
              <w:rPr>
                <w:sz w:val="20"/>
                <w:szCs w:val="20"/>
                <w:color w:val="auto"/>
              </w:rPr>
            </w:pPr>
            <w:r>
              <w:rPr>
                <w:rFonts w:ascii="Arial" w:cs="Arial" w:eastAsia="Arial" w:hAnsi="Arial"/>
                <w:sz w:val="16"/>
                <w:szCs w:val="16"/>
                <w:color w:val="auto"/>
              </w:rPr>
              <w:t>1,407,116</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1,614,915</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1,556,150</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1,363,116</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5,941,297</w:t>
            </w:r>
          </w:p>
        </w:tc>
        <w:tc>
          <w:tcPr>
            <w:tcW w:w="0" w:type="dxa"/>
            <w:vAlign w:val="bottom"/>
          </w:tcPr>
          <w:p>
            <w:pPr>
              <w:spacing w:after="0"/>
              <w:rPr>
                <w:sz w:val="1"/>
                <w:szCs w:val="1"/>
                <w:color w:val="auto"/>
              </w:rPr>
            </w:pPr>
          </w:p>
        </w:tc>
      </w:tr>
      <w:tr>
        <w:trPr>
          <w:trHeight w:val="217"/>
        </w:trPr>
        <w:tc>
          <w:tcPr>
            <w:tcW w:w="3880" w:type="dxa"/>
            <w:vAlign w:val="bottom"/>
            <w:shd w:val="clear" w:color="auto" w:fill="CCEEFF"/>
          </w:tcPr>
          <w:p>
            <w:pPr>
              <w:ind w:left="80"/>
              <w:spacing w:after="0" w:line="217" w:lineRule="exact"/>
              <w:rPr>
                <w:sz w:val="20"/>
                <w:szCs w:val="20"/>
                <w:color w:val="auto"/>
              </w:rPr>
            </w:pPr>
            <w:r>
              <w:rPr>
                <w:rFonts w:ascii="Arial" w:cs="Arial" w:eastAsia="Arial" w:hAnsi="Arial"/>
                <w:sz w:val="16"/>
                <w:szCs w:val="16"/>
                <w:color w:val="auto"/>
              </w:rPr>
              <w:t>Gross margin</w:t>
            </w:r>
            <w:r>
              <w:rPr>
                <w:rFonts w:ascii="Arial" w:cs="Arial" w:eastAsia="Arial" w:hAnsi="Arial"/>
                <w:sz w:val="21"/>
                <w:szCs w:val="21"/>
                <w:color w:val="auto"/>
                <w:vertAlign w:val="superscript"/>
              </w:rPr>
              <w:t>2</w:t>
            </w:r>
          </w:p>
        </w:tc>
        <w:tc>
          <w:tcPr>
            <w:tcW w:w="1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14.7 %</w:t>
            </w:r>
          </w:p>
        </w:tc>
        <w:tc>
          <w:tcPr>
            <w:tcW w:w="28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15.4 %</w:t>
            </w:r>
          </w:p>
        </w:tc>
        <w:tc>
          <w:tcPr>
            <w:tcW w:w="44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15.1 %</w:t>
            </w:r>
          </w:p>
        </w:tc>
        <w:tc>
          <w:tcPr>
            <w:tcW w:w="30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15.1 %</w:t>
            </w:r>
          </w:p>
        </w:tc>
        <w:tc>
          <w:tcPr>
            <w:tcW w:w="340" w:type="dxa"/>
            <w:vAlign w:val="bottom"/>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15.1 %</w:t>
            </w:r>
          </w:p>
        </w:tc>
        <w:tc>
          <w:tcPr>
            <w:tcW w:w="0" w:type="dxa"/>
            <w:vAlign w:val="bottom"/>
          </w:tcPr>
          <w:p>
            <w:pPr>
              <w:spacing w:after="0"/>
              <w:rPr>
                <w:sz w:val="1"/>
                <w:szCs w:val="1"/>
                <w:color w:val="auto"/>
              </w:rPr>
            </w:pPr>
          </w:p>
        </w:tc>
      </w:tr>
      <w:tr>
        <w:trPr>
          <w:trHeight w:val="215"/>
        </w:trPr>
        <w:tc>
          <w:tcPr>
            <w:tcW w:w="3880" w:type="dxa"/>
            <w:vAlign w:val="bottom"/>
          </w:tcPr>
          <w:p>
            <w:pPr>
              <w:ind w:left="80"/>
              <w:spacing w:after="0"/>
              <w:rPr>
                <w:sz w:val="20"/>
                <w:szCs w:val="20"/>
                <w:color w:val="auto"/>
              </w:rPr>
            </w:pPr>
            <w:r>
              <w:rPr>
                <w:rFonts w:ascii="Arial" w:cs="Arial" w:eastAsia="Arial" w:hAnsi="Arial"/>
                <w:sz w:val="16"/>
                <w:szCs w:val="16"/>
                <w:color w:val="auto"/>
              </w:rPr>
              <w:t>Segment income (000)</w:t>
            </w:r>
          </w:p>
        </w:tc>
        <w:tc>
          <w:tcPr>
            <w:tcW w:w="140" w:type="dxa"/>
            <w:vAlign w:val="bottom"/>
            <w:tcBorders>
              <w:right w:val="single" w:sz="8" w:color="auto"/>
            </w:tcBorders>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right w:val="single" w:sz="8" w:color="auto"/>
            </w:tcBorders>
          </w:tcPr>
          <w:p>
            <w:pPr>
              <w:jc w:val="right"/>
              <w:ind w:right="158"/>
              <w:spacing w:after="0"/>
              <w:rPr>
                <w:sz w:val="20"/>
                <w:szCs w:val="20"/>
                <w:color w:val="auto"/>
              </w:rPr>
            </w:pPr>
            <w:r>
              <w:rPr>
                <w:rFonts w:ascii="Arial" w:cs="Arial" w:eastAsia="Arial" w:hAnsi="Arial"/>
                <w:sz w:val="16"/>
                <w:szCs w:val="16"/>
                <w:color w:val="auto"/>
              </w:rPr>
              <w:t>48,417</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78,033</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54,286</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41,482</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222,218</w:t>
            </w:r>
          </w:p>
        </w:tc>
        <w:tc>
          <w:tcPr>
            <w:tcW w:w="0" w:type="dxa"/>
            <w:vAlign w:val="bottom"/>
          </w:tcPr>
          <w:p>
            <w:pPr>
              <w:spacing w:after="0"/>
              <w:rPr>
                <w:sz w:val="1"/>
                <w:szCs w:val="1"/>
                <w:color w:val="auto"/>
              </w:rPr>
            </w:pPr>
          </w:p>
        </w:tc>
      </w:tr>
      <w:tr>
        <w:trPr>
          <w:trHeight w:val="217"/>
        </w:trPr>
        <w:tc>
          <w:tcPr>
            <w:tcW w:w="3880" w:type="dxa"/>
            <w:vAlign w:val="bottom"/>
            <w:shd w:val="clear" w:color="auto" w:fill="CCEEFF"/>
          </w:tcPr>
          <w:p>
            <w:pPr>
              <w:ind w:left="80"/>
              <w:spacing w:after="0"/>
              <w:rPr>
                <w:sz w:val="20"/>
                <w:szCs w:val="20"/>
                <w:color w:val="auto"/>
              </w:rPr>
            </w:pPr>
            <w:r>
              <w:rPr>
                <w:rFonts w:ascii="Arial" w:cs="Arial" w:eastAsia="Arial" w:hAnsi="Arial"/>
                <w:sz w:val="16"/>
                <w:szCs w:val="16"/>
                <w:color w:val="auto"/>
              </w:rPr>
              <w:t>Segment depreciation and amortization (000)</w:t>
            </w:r>
          </w:p>
        </w:tc>
        <w:tc>
          <w:tcPr>
            <w:tcW w:w="1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right w:val="single" w:sz="8" w:color="auto"/>
            </w:tcBorders>
            <w:shd w:val="clear" w:color="auto" w:fill="CCEEFF"/>
          </w:tcPr>
          <w:p>
            <w:pPr>
              <w:jc w:val="right"/>
              <w:ind w:right="158"/>
              <w:spacing w:after="0"/>
              <w:rPr>
                <w:sz w:val="20"/>
                <w:szCs w:val="20"/>
                <w:color w:val="auto"/>
              </w:rPr>
            </w:pPr>
            <w:r>
              <w:rPr>
                <w:rFonts w:ascii="Arial" w:cs="Arial" w:eastAsia="Arial" w:hAnsi="Arial"/>
                <w:sz w:val="16"/>
                <w:szCs w:val="16"/>
                <w:color w:val="auto"/>
              </w:rPr>
              <w:t>14,362</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13,815</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15,545</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14,967</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58,689</w:t>
            </w:r>
          </w:p>
        </w:tc>
        <w:tc>
          <w:tcPr>
            <w:tcW w:w="0" w:type="dxa"/>
            <w:vAlign w:val="bottom"/>
          </w:tcPr>
          <w:p>
            <w:pPr>
              <w:spacing w:after="0"/>
              <w:rPr>
                <w:sz w:val="1"/>
                <w:szCs w:val="1"/>
                <w:color w:val="auto"/>
              </w:rPr>
            </w:pPr>
          </w:p>
        </w:tc>
      </w:tr>
      <w:tr>
        <w:trPr>
          <w:trHeight w:val="216"/>
        </w:trPr>
        <w:tc>
          <w:tcPr>
            <w:tcW w:w="3880" w:type="dxa"/>
            <w:vAlign w:val="bottom"/>
          </w:tcPr>
          <w:p>
            <w:pPr>
              <w:ind w:left="80"/>
              <w:spacing w:after="0" w:line="216" w:lineRule="exact"/>
              <w:rPr>
                <w:sz w:val="20"/>
                <w:szCs w:val="20"/>
                <w:color w:val="auto"/>
              </w:rPr>
            </w:pPr>
            <w:r>
              <w:rPr>
                <w:rFonts w:ascii="Arial" w:cs="Arial" w:eastAsia="Arial" w:hAnsi="Arial"/>
                <w:sz w:val="16"/>
                <w:szCs w:val="16"/>
                <w:color w:val="auto"/>
              </w:rPr>
              <w:t>Segment EBITDA (000)</w:t>
            </w:r>
            <w:r>
              <w:rPr>
                <w:rFonts w:ascii="Arial" w:cs="Arial" w:eastAsia="Arial" w:hAnsi="Arial"/>
                <w:sz w:val="21"/>
                <w:szCs w:val="21"/>
                <w:color w:val="auto"/>
                <w:vertAlign w:val="superscript"/>
              </w:rPr>
              <w:t>3</w:t>
            </w:r>
          </w:p>
        </w:tc>
        <w:tc>
          <w:tcPr>
            <w:tcW w:w="140" w:type="dxa"/>
            <w:vAlign w:val="bottom"/>
            <w:tcBorders>
              <w:right w:val="single" w:sz="8" w:color="auto"/>
            </w:tcBorders>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right w:val="single" w:sz="8" w:color="auto"/>
            </w:tcBorders>
          </w:tcPr>
          <w:p>
            <w:pPr>
              <w:jc w:val="right"/>
              <w:ind w:right="158"/>
              <w:spacing w:after="0"/>
              <w:rPr>
                <w:sz w:val="20"/>
                <w:szCs w:val="20"/>
                <w:color w:val="auto"/>
              </w:rPr>
            </w:pPr>
            <w:r>
              <w:rPr>
                <w:rFonts w:ascii="Arial" w:cs="Arial" w:eastAsia="Arial" w:hAnsi="Arial"/>
                <w:sz w:val="16"/>
                <w:szCs w:val="16"/>
                <w:color w:val="auto"/>
              </w:rPr>
              <w:t>62,779</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91,848</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69,831</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56,449</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280,907</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80"/>
              <w:spacing w:after="0"/>
              <w:rPr>
                <w:sz w:val="20"/>
                <w:szCs w:val="20"/>
                <w:color w:val="auto"/>
              </w:rPr>
            </w:pPr>
            <w:r>
              <w:rPr>
                <w:rFonts w:ascii="Arial" w:cs="Arial" w:eastAsia="Arial" w:hAnsi="Arial"/>
                <w:sz w:val="16"/>
                <w:szCs w:val="16"/>
                <w:color w:val="auto"/>
              </w:rPr>
              <w:t>EBITDA as a percentage of sales</w:t>
            </w:r>
          </w:p>
        </w:tc>
        <w:tc>
          <w:tcPr>
            <w:tcW w:w="1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28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5.7 %</w:t>
            </w:r>
          </w:p>
        </w:tc>
        <w:tc>
          <w:tcPr>
            <w:tcW w:w="44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30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340" w:type="dxa"/>
            <w:vAlign w:val="bottom"/>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216"/>
        </w:trPr>
        <w:tc>
          <w:tcPr>
            <w:tcW w:w="3880" w:type="dxa"/>
            <w:vAlign w:val="bottom"/>
          </w:tcPr>
          <w:p>
            <w:pPr>
              <w:ind w:left="80"/>
              <w:spacing w:after="0" w:line="216" w:lineRule="exact"/>
              <w:rPr>
                <w:sz w:val="20"/>
                <w:szCs w:val="20"/>
                <w:color w:val="auto"/>
              </w:rPr>
            </w:pPr>
            <w:r>
              <w:rPr>
                <w:rFonts w:ascii="Arial" w:cs="Arial" w:eastAsia="Arial" w:hAnsi="Arial"/>
                <w:sz w:val="16"/>
                <w:szCs w:val="16"/>
                <w:color w:val="auto"/>
              </w:rPr>
              <w:t>Capital spending (000)</w:t>
            </w:r>
            <w:r>
              <w:rPr>
                <w:rFonts w:ascii="Arial" w:cs="Arial" w:eastAsia="Arial" w:hAnsi="Arial"/>
                <w:sz w:val="21"/>
                <w:szCs w:val="21"/>
                <w:color w:val="auto"/>
                <w:vertAlign w:val="superscript"/>
              </w:rPr>
              <w:t>5</w:t>
            </w:r>
          </w:p>
        </w:tc>
        <w:tc>
          <w:tcPr>
            <w:tcW w:w="140" w:type="dxa"/>
            <w:vAlign w:val="bottom"/>
            <w:tcBorders>
              <w:right w:val="single" w:sz="8" w:color="auto"/>
            </w:tcBorders>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right w:val="single" w:sz="8" w:color="auto"/>
            </w:tcBorders>
          </w:tcPr>
          <w:p>
            <w:pPr>
              <w:jc w:val="right"/>
              <w:ind w:right="158"/>
              <w:spacing w:after="0"/>
              <w:rPr>
                <w:sz w:val="20"/>
                <w:szCs w:val="20"/>
                <w:color w:val="auto"/>
              </w:rPr>
            </w:pPr>
            <w:r>
              <w:rPr>
                <w:rFonts w:ascii="Arial" w:cs="Arial" w:eastAsia="Arial" w:hAnsi="Arial"/>
                <w:sz w:val="16"/>
                <w:szCs w:val="16"/>
                <w:color w:val="auto"/>
              </w:rPr>
              <w:t>22,431</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39,588</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26,353</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16,224</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104,596</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Receivables (000)</w:t>
            </w:r>
          </w:p>
        </w:tc>
        <w:tc>
          <w:tcPr>
            <w:tcW w:w="1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right w:val="single" w:sz="8" w:color="auto"/>
            </w:tcBorders>
            <w:shd w:val="clear" w:color="auto" w:fill="CCEEFF"/>
          </w:tcPr>
          <w:p>
            <w:pPr>
              <w:jc w:val="right"/>
              <w:ind w:right="158"/>
              <w:spacing w:after="0"/>
              <w:rPr>
                <w:sz w:val="20"/>
                <w:szCs w:val="20"/>
                <w:color w:val="auto"/>
              </w:rPr>
            </w:pPr>
            <w:r>
              <w:rPr>
                <w:rFonts w:ascii="Arial" w:cs="Arial" w:eastAsia="Arial" w:hAnsi="Arial"/>
                <w:sz w:val="16"/>
                <w:szCs w:val="16"/>
                <w:color w:val="auto"/>
              </w:rPr>
              <w:t>438,218</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444,290</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426,039</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316,049</w:t>
            </w:r>
          </w:p>
        </w:tc>
        <w:tc>
          <w:tcPr>
            <w:tcW w:w="340" w:type="dxa"/>
            <w:vAlign w:val="bottom"/>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tcPr>
          <w:p>
            <w:pPr>
              <w:ind w:left="80"/>
              <w:spacing w:after="0"/>
              <w:rPr>
                <w:sz w:val="20"/>
                <w:szCs w:val="20"/>
                <w:color w:val="auto"/>
              </w:rPr>
            </w:pPr>
            <w:r>
              <w:rPr>
                <w:rFonts w:ascii="Arial" w:cs="Arial" w:eastAsia="Arial" w:hAnsi="Arial"/>
                <w:sz w:val="16"/>
                <w:szCs w:val="16"/>
                <w:color w:val="auto"/>
              </w:rPr>
              <w:t>Inventories (000)</w:t>
            </w:r>
          </w:p>
        </w:tc>
        <w:tc>
          <w:tcPr>
            <w:tcW w:w="140" w:type="dxa"/>
            <w:vAlign w:val="bottom"/>
            <w:tcBorders>
              <w:right w:val="single" w:sz="8" w:color="auto"/>
            </w:tcBorders>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right w:val="single" w:sz="8" w:color="auto"/>
            </w:tcBorders>
          </w:tcPr>
          <w:p>
            <w:pPr>
              <w:jc w:val="right"/>
              <w:ind w:right="158"/>
              <w:spacing w:after="0"/>
              <w:rPr>
                <w:sz w:val="20"/>
                <w:szCs w:val="20"/>
                <w:color w:val="auto"/>
              </w:rPr>
            </w:pPr>
            <w:r>
              <w:rPr>
                <w:rFonts w:ascii="Arial" w:cs="Arial" w:eastAsia="Arial" w:hAnsi="Arial"/>
                <w:sz w:val="16"/>
                <w:szCs w:val="16"/>
                <w:color w:val="auto"/>
              </w:rPr>
              <w:t>660,970</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661,911</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588,017</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543,245</w:t>
            </w:r>
          </w:p>
        </w:tc>
        <w:tc>
          <w:tcPr>
            <w:tcW w:w="34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60"/>
              <w:spacing w:after="0"/>
              <w:rPr>
                <w:sz w:val="20"/>
                <w:szCs w:val="20"/>
                <w:color w:val="auto"/>
              </w:rPr>
            </w:pPr>
            <w:r>
              <w:rPr>
                <w:rFonts w:ascii="Arial" w:cs="Arial" w:eastAsia="Arial" w:hAnsi="Arial"/>
                <w:sz w:val="16"/>
                <w:szCs w:val="16"/>
                <w:color w:val="auto"/>
              </w:rPr>
              <w:t>Accounts payable (000)</w:t>
            </w:r>
          </w:p>
        </w:tc>
        <w:tc>
          <w:tcPr>
            <w:tcW w:w="140" w:type="dxa"/>
            <w:vAlign w:val="bottom"/>
            <w:tcBorders>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right w:val="single" w:sz="8" w:color="auto"/>
            </w:tcBorders>
            <w:shd w:val="clear" w:color="auto" w:fill="CCEEFF"/>
          </w:tcPr>
          <w:p>
            <w:pPr>
              <w:jc w:val="right"/>
              <w:ind w:right="158"/>
              <w:spacing w:after="0"/>
              <w:rPr>
                <w:sz w:val="20"/>
                <w:szCs w:val="20"/>
                <w:color w:val="auto"/>
              </w:rPr>
            </w:pPr>
            <w:r>
              <w:rPr>
                <w:rFonts w:ascii="Arial" w:cs="Arial" w:eastAsia="Arial" w:hAnsi="Arial"/>
                <w:sz w:val="16"/>
                <w:szCs w:val="16"/>
                <w:color w:val="auto"/>
              </w:rPr>
              <w:t>438,404</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365,966</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301,968</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204,361</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320" w:top="1025" w:right="31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22"/>
          <w:szCs w:val="22"/>
          <w:b w:val="1"/>
          <w:bCs w:val="1"/>
          <w:color w:val="auto"/>
        </w:rPr>
        <w:t>Boise Cascade Company</w:t>
      </w:r>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Quarterly Statistical Information (continued)</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Building Materials Distribution Segment (continued)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09"/>
        </w:trPr>
        <w:tc>
          <w:tcPr>
            <w:tcW w:w="3920" w:type="dxa"/>
            <w:vAlign w:val="bottom"/>
            <w:tcBorders>
              <w:bottom w:val="single" w:sz="8" w:color="CCEEFF"/>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539"/>
              <w:spacing w:after="0"/>
              <w:rPr>
                <w:sz w:val="20"/>
                <w:szCs w:val="20"/>
                <w:color w:val="auto"/>
              </w:rPr>
            </w:pPr>
            <w:r>
              <w:rPr>
                <w:rFonts w:ascii="Arial" w:cs="Arial" w:eastAsia="Arial" w:hAnsi="Arial"/>
                <w:sz w:val="16"/>
                <w:szCs w:val="16"/>
                <w:color w:val="auto"/>
              </w:rPr>
              <w:t>Q1</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539"/>
              <w:spacing w:after="0"/>
              <w:rPr>
                <w:sz w:val="20"/>
                <w:szCs w:val="20"/>
                <w:color w:val="auto"/>
              </w:rPr>
            </w:pPr>
            <w:r>
              <w:rPr>
                <w:rFonts w:ascii="Arial" w:cs="Arial" w:eastAsia="Arial" w:hAnsi="Arial"/>
                <w:sz w:val="16"/>
                <w:szCs w:val="16"/>
                <w:color w:val="auto"/>
              </w:rPr>
              <w:t>Q2</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Q3</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539"/>
              <w:spacing w:after="0"/>
              <w:rPr>
                <w:sz w:val="20"/>
                <w:szCs w:val="20"/>
                <w:color w:val="auto"/>
              </w:rPr>
            </w:pPr>
            <w:r>
              <w:rPr>
                <w:rFonts w:ascii="Arial" w:cs="Arial" w:eastAsia="Arial" w:hAnsi="Arial"/>
                <w:sz w:val="16"/>
                <w:szCs w:val="16"/>
                <w:color w:val="auto"/>
              </w:rPr>
              <w:t>Q4</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right"/>
              <w:ind w:right="559"/>
              <w:spacing w:after="0"/>
              <w:rPr>
                <w:sz w:val="20"/>
                <w:szCs w:val="20"/>
                <w:color w:val="auto"/>
              </w:rPr>
            </w:pPr>
            <w:r>
              <w:rPr>
                <w:rFonts w:ascii="Arial" w:cs="Arial" w:eastAsia="Arial" w:hAnsi="Arial"/>
                <w:sz w:val="16"/>
                <w:szCs w:val="16"/>
                <w:color w:val="auto"/>
              </w:rPr>
              <w:t>YTD</w:t>
            </w:r>
          </w:p>
        </w:tc>
      </w:tr>
      <w:tr>
        <w:trPr>
          <w:trHeight w:val="210"/>
        </w:trPr>
        <w:tc>
          <w:tcPr>
            <w:tcW w:w="3920" w:type="dxa"/>
            <w:vAlign w:val="bottom"/>
            <w:tcBorders>
              <w:right w:val="single" w:sz="8" w:color="auto"/>
            </w:tcBorders>
            <w:shd w:val="clear" w:color="auto" w:fill="CCEEFF"/>
          </w:tcPr>
          <w:p>
            <w:pPr>
              <w:ind w:left="60"/>
              <w:spacing w:after="0" w:line="210" w:lineRule="exact"/>
              <w:rPr>
                <w:sz w:val="20"/>
                <w:szCs w:val="20"/>
                <w:color w:val="auto"/>
              </w:rPr>
            </w:pPr>
            <w:r>
              <w:rPr>
                <w:rFonts w:ascii="Arial" w:cs="Arial" w:eastAsia="Arial" w:hAnsi="Arial"/>
                <w:sz w:val="16"/>
                <w:szCs w:val="16"/>
                <w:color w:val="auto"/>
              </w:rPr>
              <w:t>General line sales</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41.0 %</w:t>
            </w:r>
          </w:p>
        </w:tc>
        <w:tc>
          <w:tcPr>
            <w:tcW w:w="28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42.4 %</w:t>
            </w:r>
          </w:p>
        </w:tc>
        <w:tc>
          <w:tcPr>
            <w:tcW w:w="30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43.8 %</w:t>
            </w:r>
          </w:p>
        </w:tc>
        <w:tc>
          <w:tcPr>
            <w:tcW w:w="28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42.4 %</w:t>
            </w:r>
          </w:p>
        </w:tc>
        <w:tc>
          <w:tcPr>
            <w:tcW w:w="360" w:type="dxa"/>
            <w:vAlign w:val="bottom"/>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42.4 %</w:t>
            </w:r>
          </w:p>
        </w:tc>
      </w:tr>
      <w:tr>
        <w:trPr>
          <w:trHeight w:val="216"/>
        </w:trPr>
        <w:tc>
          <w:tcPr>
            <w:tcW w:w="392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16"/>
                <w:szCs w:val="16"/>
                <w:color w:val="auto"/>
              </w:rPr>
              <w:t>Commodity sales</w:t>
            </w:r>
            <w:r>
              <w:rPr>
                <w:rFonts w:ascii="Arial" w:cs="Arial" w:eastAsia="Arial" w:hAnsi="Arial"/>
                <w:sz w:val="21"/>
                <w:szCs w:val="21"/>
                <w:color w:val="auto"/>
                <w:vertAlign w:val="superscript"/>
              </w:rPr>
              <w:t>1</w:t>
            </w:r>
          </w:p>
        </w:tc>
        <w:tc>
          <w:tcPr>
            <w:tcW w:w="300" w:type="dxa"/>
            <w:vAlign w:val="bottom"/>
          </w:tcPr>
          <w:p>
            <w:pPr>
              <w:spacing w:after="0"/>
              <w:rPr>
                <w:sz w:val="18"/>
                <w:szCs w:val="18"/>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36.7 %</w:t>
            </w:r>
          </w:p>
        </w:tc>
        <w:tc>
          <w:tcPr>
            <w:tcW w:w="280" w:type="dxa"/>
            <w:vAlign w:val="bottom"/>
          </w:tcPr>
          <w:p>
            <w:pPr>
              <w:spacing w:after="0"/>
              <w:rPr>
                <w:sz w:val="18"/>
                <w:szCs w:val="18"/>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35.0 %</w:t>
            </w:r>
          </w:p>
        </w:tc>
        <w:tc>
          <w:tcPr>
            <w:tcW w:w="300" w:type="dxa"/>
            <w:vAlign w:val="bottom"/>
          </w:tcPr>
          <w:p>
            <w:pPr>
              <w:spacing w:after="0"/>
              <w:rPr>
                <w:sz w:val="18"/>
                <w:szCs w:val="18"/>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34.9 %</w:t>
            </w:r>
          </w:p>
        </w:tc>
        <w:tc>
          <w:tcPr>
            <w:tcW w:w="280" w:type="dxa"/>
            <w:vAlign w:val="bottom"/>
          </w:tcPr>
          <w:p>
            <w:pPr>
              <w:spacing w:after="0"/>
              <w:rPr>
                <w:sz w:val="18"/>
                <w:szCs w:val="18"/>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36.7 %</w:t>
            </w:r>
          </w:p>
        </w:tc>
        <w:tc>
          <w:tcPr>
            <w:tcW w:w="360" w:type="dxa"/>
            <w:vAlign w:val="bottom"/>
          </w:tcPr>
          <w:p>
            <w:pPr>
              <w:spacing w:after="0"/>
              <w:rPr>
                <w:sz w:val="18"/>
                <w:szCs w:val="18"/>
                <w:color w:val="auto"/>
              </w:rPr>
            </w:pP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35.8 %</w:t>
            </w:r>
          </w:p>
        </w:tc>
      </w:tr>
      <w:tr>
        <w:trPr>
          <w:trHeight w:val="216"/>
        </w:trPr>
        <w:tc>
          <w:tcPr>
            <w:tcW w:w="3920" w:type="dxa"/>
            <w:vAlign w:val="bottom"/>
            <w:tcBorders>
              <w:right w:val="single" w:sz="8" w:color="auto"/>
            </w:tcBorders>
            <w:shd w:val="clear" w:color="auto" w:fill="CCEEFF"/>
          </w:tcPr>
          <w:p>
            <w:pPr>
              <w:ind w:left="60"/>
              <w:spacing w:after="0" w:line="216" w:lineRule="exact"/>
              <w:rPr>
                <w:sz w:val="20"/>
                <w:szCs w:val="20"/>
                <w:color w:val="auto"/>
              </w:rPr>
            </w:pPr>
            <w:r>
              <w:rPr>
                <w:rFonts w:ascii="Arial" w:cs="Arial" w:eastAsia="Arial" w:hAnsi="Arial"/>
                <w:sz w:val="16"/>
                <w:szCs w:val="16"/>
                <w:color w:val="auto"/>
              </w:rPr>
              <w:t>EWP sales</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22.3 %</w:t>
            </w:r>
          </w:p>
        </w:tc>
        <w:tc>
          <w:tcPr>
            <w:tcW w:w="28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22.6 %</w:t>
            </w:r>
          </w:p>
        </w:tc>
        <w:tc>
          <w:tcPr>
            <w:tcW w:w="30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21.3 %</w:t>
            </w:r>
          </w:p>
        </w:tc>
        <w:tc>
          <w:tcPr>
            <w:tcW w:w="28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20.9 %</w:t>
            </w:r>
          </w:p>
        </w:tc>
        <w:tc>
          <w:tcPr>
            <w:tcW w:w="360" w:type="dxa"/>
            <w:vAlign w:val="bottom"/>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21.8 %</w:t>
            </w:r>
          </w:p>
        </w:tc>
      </w:tr>
      <w:tr>
        <w:trPr>
          <w:trHeight w:val="215"/>
        </w:trPr>
        <w:tc>
          <w:tcPr>
            <w:tcW w:w="39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Total sales (000)</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1,505,021</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1,655,221</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1,567,466</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1,438,785</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6,166,493</w:t>
            </w:r>
          </w:p>
        </w:tc>
      </w:tr>
      <w:tr>
        <w:trPr>
          <w:trHeight w:val="217"/>
        </w:trPr>
        <w:tc>
          <w:tcPr>
            <w:tcW w:w="3920" w:type="dxa"/>
            <w:vAlign w:val="bottom"/>
            <w:tcBorders>
              <w:right w:val="single" w:sz="8" w:color="auto"/>
            </w:tcBorders>
            <w:shd w:val="clear" w:color="auto" w:fill="CCEEFF"/>
          </w:tcPr>
          <w:p>
            <w:pPr>
              <w:ind w:left="60"/>
              <w:spacing w:after="0" w:line="217" w:lineRule="exact"/>
              <w:rPr>
                <w:sz w:val="20"/>
                <w:szCs w:val="20"/>
                <w:color w:val="auto"/>
              </w:rPr>
            </w:pPr>
            <w:r>
              <w:rPr>
                <w:rFonts w:ascii="Arial" w:cs="Arial" w:eastAsia="Arial" w:hAnsi="Arial"/>
                <w:sz w:val="16"/>
                <w:szCs w:val="16"/>
                <w:color w:val="auto"/>
              </w:rPr>
              <w:t>Gross margin</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15.1 %</w:t>
            </w:r>
          </w:p>
        </w:tc>
        <w:tc>
          <w:tcPr>
            <w:tcW w:w="28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14.8 %</w:t>
            </w:r>
          </w:p>
        </w:tc>
        <w:tc>
          <w:tcPr>
            <w:tcW w:w="30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15.7 %</w:t>
            </w:r>
          </w:p>
        </w:tc>
        <w:tc>
          <w:tcPr>
            <w:tcW w:w="28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15.8 %</w:t>
            </w:r>
          </w:p>
        </w:tc>
        <w:tc>
          <w:tcPr>
            <w:tcW w:w="360" w:type="dxa"/>
            <w:vAlign w:val="bottom"/>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15.3 %</w:t>
            </w:r>
          </w:p>
        </w:tc>
      </w:tr>
      <w:tr>
        <w:trPr>
          <w:trHeight w:val="215"/>
        </w:trPr>
        <w:tc>
          <w:tcPr>
            <w:tcW w:w="39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Segment income (000)</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72,463</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85,400</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74,821</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70,701</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303,385</w:t>
            </w:r>
          </w:p>
        </w:tc>
      </w:tr>
      <w:tr>
        <w:trPr>
          <w:trHeight w:val="217"/>
        </w:trPr>
        <w:tc>
          <w:tcPr>
            <w:tcW w:w="392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Segment depreciation and amortization (000)</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right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11,107</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11,741</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right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12,928</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13,758</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49,534</w:t>
            </w:r>
          </w:p>
        </w:tc>
      </w:tr>
      <w:tr>
        <w:trPr>
          <w:trHeight w:val="216"/>
        </w:trPr>
        <w:tc>
          <w:tcPr>
            <w:tcW w:w="392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16"/>
                <w:szCs w:val="16"/>
                <w:color w:val="auto"/>
              </w:rPr>
              <w:t>Segment EBITDA (000)</w:t>
            </w:r>
            <w:r>
              <w:rPr>
                <w:rFonts w:ascii="Arial" w:cs="Arial" w:eastAsia="Arial" w:hAnsi="Arial"/>
                <w:sz w:val="21"/>
                <w:szCs w:val="21"/>
                <w:color w:val="auto"/>
                <w:vertAlign w:val="superscript"/>
              </w:rPr>
              <w:t>3</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83,570</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97,141</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87,749</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84,459</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352,919</w:t>
            </w:r>
          </w:p>
        </w:tc>
      </w:tr>
      <w:tr>
        <w:trPr>
          <w:trHeight w:val="216"/>
        </w:trPr>
        <w:tc>
          <w:tcPr>
            <w:tcW w:w="392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EBITDA as a percentage of sales</w:t>
            </w:r>
          </w:p>
        </w:tc>
        <w:tc>
          <w:tcPr>
            <w:tcW w:w="30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5.6 %</w:t>
            </w:r>
          </w:p>
        </w:tc>
        <w:tc>
          <w:tcPr>
            <w:tcW w:w="28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30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5.6 %</w:t>
            </w:r>
          </w:p>
        </w:tc>
        <w:tc>
          <w:tcPr>
            <w:tcW w:w="28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360" w:type="dxa"/>
            <w:vAlign w:val="bottom"/>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5.7 %</w:t>
            </w:r>
          </w:p>
        </w:tc>
      </w:tr>
      <w:tr>
        <w:trPr>
          <w:trHeight w:val="216"/>
        </w:trPr>
        <w:tc>
          <w:tcPr>
            <w:tcW w:w="392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16"/>
                <w:szCs w:val="16"/>
                <w:color w:val="auto"/>
              </w:rPr>
              <w:t>Capital spending (000)</w:t>
            </w:r>
            <w:r>
              <w:rPr>
                <w:rFonts w:ascii="Arial" w:cs="Arial" w:eastAsia="Arial" w:hAnsi="Arial"/>
                <w:sz w:val="21"/>
                <w:szCs w:val="21"/>
                <w:color w:val="auto"/>
                <w:vertAlign w:val="superscript"/>
              </w:rPr>
              <w:t>6</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14,672</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21,904</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36,902</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34,115</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107,593</w:t>
            </w:r>
          </w:p>
        </w:tc>
      </w:tr>
      <w:tr>
        <w:trPr>
          <w:trHeight w:val="216"/>
        </w:trPr>
        <w:tc>
          <w:tcPr>
            <w:tcW w:w="392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Receivables (000)</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right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453,083</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436,992</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right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386,303</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315,698</w:t>
            </w:r>
          </w:p>
        </w:tc>
        <w:tc>
          <w:tcPr>
            <w:tcW w:w="360" w:type="dxa"/>
            <w:vAlign w:val="bottom"/>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spacing w:after="0"/>
              <w:rPr>
                <w:sz w:val="18"/>
                <w:szCs w:val="18"/>
                <w:color w:val="auto"/>
              </w:rPr>
            </w:pPr>
          </w:p>
        </w:tc>
      </w:tr>
      <w:tr>
        <w:trPr>
          <w:trHeight w:val="215"/>
        </w:trPr>
        <w:tc>
          <w:tcPr>
            <w:tcW w:w="39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Inventories (000)</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601,546</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626,044</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566,056</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557,977</w:t>
            </w:r>
          </w:p>
        </w:tc>
        <w:tc>
          <w:tcPr>
            <w:tcW w:w="36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r>
      <w:tr>
        <w:trPr>
          <w:trHeight w:val="216"/>
        </w:trPr>
        <w:tc>
          <w:tcPr>
            <w:tcW w:w="392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Accounts payable (000)</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right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412,919</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392,798</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right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300,978</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226,236</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right w:val="single" w:sz="8" w:color="auto"/>
            </w:tcBorders>
            <w:shd w:val="clear" w:color="auto" w:fill="CCEEFF"/>
          </w:tcPr>
          <w:p>
            <w:pPr>
              <w:spacing w:after="0"/>
              <w:rPr>
                <w:sz w:val="18"/>
                <w:szCs w:val="18"/>
                <w:color w:val="auto"/>
              </w:rPr>
            </w:pPr>
          </w:p>
        </w:tc>
      </w:tr>
    </w:tbl>
    <w:p>
      <w:pPr>
        <w:spacing w:after="0" w:line="134" w:lineRule="exact"/>
        <w:rPr>
          <w:sz w:val="20"/>
          <w:szCs w:val="20"/>
          <w:color w:val="auto"/>
        </w:rPr>
      </w:pPr>
    </w:p>
    <w:p>
      <w:pPr>
        <w:ind w:left="20"/>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Product line sales are shown as a percentage of total Building Materials Distribution (BMD) sales.</w:t>
      </w:r>
    </w:p>
    <w:p>
      <w:pPr>
        <w:spacing w:after="0" w:line="28" w:lineRule="exact"/>
        <w:rPr>
          <w:sz w:val="20"/>
          <w:szCs w:val="20"/>
          <w:color w:val="auto"/>
        </w:rPr>
      </w:pPr>
    </w:p>
    <w:p>
      <w:pPr>
        <w:jc w:val="both"/>
        <w:ind w:left="20" w:right="600"/>
        <w:spacing w:after="0" w:line="206" w:lineRule="auto"/>
        <w:rPr>
          <w:sz w:val="20"/>
          <w:szCs w:val="20"/>
          <w:color w:val="auto"/>
        </w:rPr>
      </w:pPr>
      <w:r>
        <w:rPr>
          <w:rFonts w:ascii="Arial" w:cs="Arial" w:eastAsia="Arial" w:hAnsi="Arial"/>
          <w:sz w:val="21"/>
          <w:szCs w:val="21"/>
          <w:color w:val="auto"/>
          <w:vertAlign w:val="superscript"/>
        </w:rPr>
        <w:t>2</w:t>
      </w:r>
      <w:r>
        <w:rPr>
          <w:rFonts w:ascii="Arial" w:cs="Arial" w:eastAsia="Arial" w:hAnsi="Arial"/>
          <w:sz w:val="16"/>
          <w:szCs w:val="16"/>
          <w:color w:val="auto"/>
        </w:rPr>
        <w:t>We define gross margin as "Sales" less "Materials, labor, and other operating expenses (excluding depreciation)." Substantially all costs included in "Materials, labor, and other operating expenses (excluding depreciation)" for our BMD segment are for inventory purchased for resale. Gross margin percentage is gross margin as a percentage of segment sales.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21"/>
          <w:szCs w:val="21"/>
          <w:color w:val="auto"/>
          <w:vertAlign w:val="superscript"/>
        </w:rPr>
        <w:t>3</w:t>
      </w:r>
      <w:r>
        <w:rPr>
          <w:rFonts w:ascii="Arial" w:cs="Arial" w:eastAsia="Arial" w:hAnsi="Arial"/>
          <w:sz w:val="16"/>
          <w:szCs w:val="16"/>
          <w:color w:val="auto"/>
        </w:rPr>
        <w:t>Segment EBITDA is calculated as segment income before depreciation and amortization.</w:t>
      </w:r>
    </w:p>
    <w:p>
      <w:pPr>
        <w:spacing w:after="0" w:line="28" w:lineRule="exact"/>
        <w:rPr>
          <w:sz w:val="20"/>
          <w:szCs w:val="20"/>
          <w:color w:val="auto"/>
        </w:rPr>
      </w:pPr>
    </w:p>
    <w:p>
      <w:pPr>
        <w:ind w:left="20" w:right="160"/>
        <w:spacing w:after="0" w:line="204" w:lineRule="auto"/>
        <w:rPr>
          <w:sz w:val="20"/>
          <w:szCs w:val="20"/>
          <w:color w:val="auto"/>
        </w:rPr>
      </w:pPr>
      <w:r>
        <w:rPr>
          <w:rFonts w:ascii="Arial" w:cs="Arial" w:eastAsia="Arial" w:hAnsi="Arial"/>
          <w:sz w:val="21"/>
          <w:szCs w:val="21"/>
          <w:color w:val="auto"/>
          <w:vertAlign w:val="superscript"/>
        </w:rPr>
        <w:t>4</w:t>
      </w:r>
      <w:r>
        <w:rPr>
          <w:rFonts w:ascii="Arial" w:cs="Arial" w:eastAsia="Arial" w:hAnsi="Arial"/>
          <w:sz w:val="16"/>
          <w:szCs w:val="16"/>
          <w:color w:val="auto"/>
        </w:rPr>
        <w:t>During 2026, capital spending in first quarter includes approximately $13 million to purchase previously leased BMD properties in Boise, Idaho and Grand Junction, Colorado.</w:t>
      </w:r>
    </w:p>
    <w:p>
      <w:pPr>
        <w:spacing w:after="0" w:line="3" w:lineRule="exact"/>
        <w:rPr>
          <w:sz w:val="20"/>
          <w:szCs w:val="20"/>
          <w:color w:val="auto"/>
        </w:rPr>
      </w:pPr>
    </w:p>
    <w:p>
      <w:pPr>
        <w:ind w:left="20" w:right="160"/>
        <w:spacing w:after="0" w:line="212" w:lineRule="auto"/>
        <w:rPr>
          <w:sz w:val="20"/>
          <w:szCs w:val="20"/>
          <w:color w:val="auto"/>
        </w:rPr>
      </w:pPr>
      <w:r>
        <w:rPr>
          <w:rFonts w:ascii="Arial" w:cs="Arial" w:eastAsia="Arial" w:hAnsi="Arial"/>
          <w:sz w:val="21"/>
          <w:szCs w:val="21"/>
          <w:color w:val="auto"/>
          <w:vertAlign w:val="superscript"/>
        </w:rPr>
        <w:t>5</w:t>
      </w:r>
      <w:r>
        <w:rPr>
          <w:rFonts w:ascii="Arial" w:cs="Arial" w:eastAsia="Arial" w:hAnsi="Arial"/>
          <w:sz w:val="16"/>
          <w:szCs w:val="16"/>
          <w:color w:val="auto"/>
        </w:rPr>
        <w:t>During 2025, capital spending in second quarter includes approximately $17 million to purchase previously leased BMD properties in Chicago, Illinois and Minneapolis, Minnesota. Capital spending in fourth quarter 2025 excludes approximately $33 million for the acquisition of businesses and facilities, net of cash acquired.</w:t>
      </w:r>
    </w:p>
    <w:p>
      <w:pPr>
        <w:spacing w:after="0" w:line="2" w:lineRule="exact"/>
        <w:rPr>
          <w:sz w:val="20"/>
          <w:szCs w:val="20"/>
          <w:color w:val="auto"/>
        </w:rPr>
      </w:pPr>
    </w:p>
    <w:p>
      <w:pPr>
        <w:ind w:left="20" w:right="440"/>
        <w:spacing w:after="0" w:line="212" w:lineRule="auto"/>
        <w:rPr>
          <w:sz w:val="20"/>
          <w:szCs w:val="20"/>
          <w:color w:val="auto"/>
        </w:rPr>
      </w:pPr>
      <w:r>
        <w:rPr>
          <w:rFonts w:ascii="Arial" w:cs="Arial" w:eastAsia="Arial" w:hAnsi="Arial"/>
          <w:sz w:val="21"/>
          <w:szCs w:val="21"/>
          <w:color w:val="auto"/>
          <w:vertAlign w:val="superscript"/>
        </w:rPr>
        <w:t>6</w:t>
      </w:r>
      <w:r>
        <w:rPr>
          <w:rFonts w:ascii="Arial" w:cs="Arial" w:eastAsia="Arial" w:hAnsi="Arial"/>
          <w:sz w:val="16"/>
          <w:szCs w:val="16"/>
          <w:color w:val="auto"/>
        </w:rPr>
        <w:t>During 2024, capital spending in third quarter includes approximately $20 million to purchase a previously leased BMD property in Westfield, Massachusetts. Capital spending in fourth quarter 2024 includes approximately $5 million to purchase a previously leased property in Chicago, Illinois.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40" w:top="894" w:right="339" w:bottom="1440" w:gutter="0" w:footer="0" w:header="0"/>
        </w:sectPr>
      </w:pPr>
    </w:p>
    <w:bookmarkStart w:id="20" w:name="page21"/>
    <w:bookmarkEnd w:id="20"/>
    <w:p>
      <w:pPr>
        <w:jc w:val="center"/>
        <w:ind w:right="20"/>
        <w:spacing w:after="0"/>
        <w:rPr>
          <w:sz w:val="20"/>
          <w:szCs w:val="20"/>
          <w:color w:val="auto"/>
        </w:rPr>
      </w:pPr>
      <w:r>
        <w:rPr>
          <w:rFonts w:ascii="Arial" w:cs="Arial" w:eastAsia="Arial" w:hAnsi="Arial"/>
          <w:sz w:val="22"/>
          <w:szCs w:val="22"/>
          <w:b w:val="1"/>
          <w:bCs w:val="1"/>
          <w:color w:val="auto"/>
        </w:rPr>
        <w:t>Boise Cascade Company</w:t>
      </w:r>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Quarterly Statistical Information (continued)</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Wood Products Segment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2026</w:t>
            </w:r>
          </w:p>
        </w:tc>
        <w:tc>
          <w:tcPr>
            <w:tcW w:w="13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09"/>
        </w:trPr>
        <w:tc>
          <w:tcPr>
            <w:tcW w:w="4360" w:type="dxa"/>
            <w:vAlign w:val="bottom"/>
            <w:tcBorders>
              <w:bottom w:val="single" w:sz="8" w:color="CCEEFF"/>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479"/>
              <w:spacing w:after="0"/>
              <w:rPr>
                <w:sz w:val="20"/>
                <w:szCs w:val="20"/>
                <w:color w:val="auto"/>
              </w:rPr>
            </w:pPr>
            <w:r>
              <w:rPr>
                <w:rFonts w:ascii="Arial" w:cs="Arial" w:eastAsia="Arial" w:hAnsi="Arial"/>
                <w:sz w:val="16"/>
                <w:szCs w:val="16"/>
                <w:color w:val="auto"/>
              </w:rPr>
              <w:t>Q1</w:t>
            </w:r>
          </w:p>
        </w:tc>
        <w:tc>
          <w:tcPr>
            <w:tcW w:w="134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6"/>
                <w:szCs w:val="16"/>
                <w:color w:val="auto"/>
              </w:rPr>
              <w:t>Q2</w:t>
            </w:r>
          </w:p>
        </w:tc>
        <w:tc>
          <w:tcPr>
            <w:tcW w:w="134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6"/>
                <w:szCs w:val="16"/>
                <w:color w:val="auto"/>
              </w:rPr>
              <w:t>Q3</w:t>
            </w:r>
          </w:p>
        </w:tc>
        <w:tc>
          <w:tcPr>
            <w:tcW w:w="134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6"/>
                <w:szCs w:val="16"/>
                <w:color w:val="auto"/>
              </w:rPr>
              <w:t>Q4</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19"/>
              <w:spacing w:after="0"/>
              <w:rPr>
                <w:sz w:val="20"/>
                <w:szCs w:val="20"/>
                <w:color w:val="auto"/>
              </w:rPr>
            </w:pPr>
            <w:r>
              <w:rPr>
                <w:rFonts w:ascii="Arial" w:cs="Arial" w:eastAsia="Arial" w:hAnsi="Arial"/>
                <w:sz w:val="16"/>
                <w:szCs w:val="16"/>
                <w:color w:val="auto"/>
              </w:rPr>
              <w:t>YTD</w:t>
            </w:r>
          </w:p>
        </w:tc>
      </w:tr>
      <w:tr>
        <w:trPr>
          <w:trHeight w:val="210"/>
        </w:trPr>
        <w:tc>
          <w:tcPr>
            <w:tcW w:w="436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LVL sales volume (MCF)</w:t>
            </w:r>
          </w:p>
        </w:tc>
        <w:tc>
          <w:tcPr>
            <w:tcW w:w="32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4,562</w:t>
            </w:r>
          </w:p>
        </w:tc>
        <w:tc>
          <w:tcPr>
            <w:tcW w:w="1340" w:type="dxa"/>
            <w:vAlign w:val="bottom"/>
            <w:tcBorders>
              <w:right w:val="single" w:sz="8" w:color="auto"/>
            </w:tcBorders>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4,562</w:t>
            </w:r>
          </w:p>
        </w:tc>
      </w:tr>
      <w:tr>
        <w:trPr>
          <w:trHeight w:val="215"/>
        </w:trPr>
        <w:tc>
          <w:tcPr>
            <w:tcW w:w="43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I-joist sales volume (MELF)</w:t>
            </w:r>
          </w:p>
        </w:tc>
        <w:tc>
          <w:tcPr>
            <w:tcW w:w="320" w:type="dxa"/>
            <w:vAlign w:val="bottom"/>
          </w:tcPr>
          <w:p>
            <w:pPr>
              <w:spacing w:after="0"/>
              <w:rPr>
                <w:sz w:val="18"/>
                <w:szCs w:val="18"/>
                <w:color w:val="auto"/>
              </w:rPr>
            </w:pP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51,950</w:t>
            </w:r>
          </w:p>
        </w:tc>
        <w:tc>
          <w:tcPr>
            <w:tcW w:w="1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51,950</w:t>
            </w:r>
          </w:p>
        </w:tc>
      </w:tr>
      <w:tr>
        <w:trPr>
          <w:trHeight w:val="217"/>
        </w:trPr>
        <w:tc>
          <w:tcPr>
            <w:tcW w:w="436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Plywood sales volume (MSF 3/8")</w:t>
            </w:r>
          </w:p>
        </w:tc>
        <w:tc>
          <w:tcPr>
            <w:tcW w:w="32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373,342</w:t>
            </w:r>
          </w:p>
        </w:tc>
        <w:tc>
          <w:tcPr>
            <w:tcW w:w="1340" w:type="dxa"/>
            <w:vAlign w:val="bottom"/>
            <w:tcBorders>
              <w:right w:val="single" w:sz="8" w:color="auto"/>
            </w:tcBorders>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373,342</w:t>
            </w:r>
          </w:p>
        </w:tc>
      </w:tr>
      <w:tr>
        <w:trPr>
          <w:trHeight w:val="215"/>
        </w:trPr>
        <w:tc>
          <w:tcPr>
            <w:tcW w:w="43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Lumber sales volume (MBF)</w:t>
            </w:r>
          </w:p>
        </w:tc>
        <w:tc>
          <w:tcPr>
            <w:tcW w:w="320" w:type="dxa"/>
            <w:vAlign w:val="bottom"/>
          </w:tcPr>
          <w:p>
            <w:pPr>
              <w:spacing w:after="0"/>
              <w:rPr>
                <w:sz w:val="18"/>
                <w:szCs w:val="18"/>
                <w:color w:val="auto"/>
              </w:rPr>
            </w:pP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21,022</w:t>
            </w:r>
          </w:p>
        </w:tc>
        <w:tc>
          <w:tcPr>
            <w:tcW w:w="1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21,022</w:t>
            </w:r>
          </w:p>
        </w:tc>
      </w:tr>
      <w:tr>
        <w:trPr>
          <w:trHeight w:val="217"/>
        </w:trPr>
        <w:tc>
          <w:tcPr>
            <w:tcW w:w="436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LVL mill net sales price ($/CF)</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24.22</w:t>
            </w:r>
          </w:p>
        </w:tc>
        <w:tc>
          <w:tcPr>
            <w:tcW w:w="1340" w:type="dxa"/>
            <w:vAlign w:val="bottom"/>
            <w:tcBorders>
              <w:right w:val="single" w:sz="8" w:color="auto"/>
            </w:tcBorders>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24.22</w:t>
            </w:r>
          </w:p>
        </w:tc>
      </w:tr>
      <w:tr>
        <w:trPr>
          <w:trHeight w:val="215"/>
        </w:trPr>
        <w:tc>
          <w:tcPr>
            <w:tcW w:w="43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I-joist mill net sales price ($/MELF)</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1,700</w:t>
            </w:r>
          </w:p>
        </w:tc>
        <w:tc>
          <w:tcPr>
            <w:tcW w:w="1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1,700</w:t>
            </w:r>
          </w:p>
        </w:tc>
      </w:tr>
      <w:tr>
        <w:trPr>
          <w:trHeight w:val="217"/>
        </w:trPr>
        <w:tc>
          <w:tcPr>
            <w:tcW w:w="436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Plywood net sales price ($/MSF 3/8")</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343</w:t>
            </w:r>
          </w:p>
        </w:tc>
        <w:tc>
          <w:tcPr>
            <w:tcW w:w="1340" w:type="dxa"/>
            <w:vAlign w:val="bottom"/>
            <w:tcBorders>
              <w:right w:val="single" w:sz="8" w:color="auto"/>
            </w:tcBorders>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343</w:t>
            </w:r>
          </w:p>
        </w:tc>
      </w:tr>
      <w:tr>
        <w:trPr>
          <w:trHeight w:val="215"/>
        </w:trPr>
        <w:tc>
          <w:tcPr>
            <w:tcW w:w="43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Lumber net sales price ($/MBF)</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563</w:t>
            </w:r>
          </w:p>
        </w:tc>
        <w:tc>
          <w:tcPr>
            <w:tcW w:w="1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563</w:t>
            </w:r>
          </w:p>
        </w:tc>
      </w:tr>
      <w:tr>
        <w:trPr>
          <w:trHeight w:val="217"/>
        </w:trPr>
        <w:tc>
          <w:tcPr>
            <w:tcW w:w="436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Segment sales (000)</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398,204</w:t>
            </w:r>
          </w:p>
        </w:tc>
        <w:tc>
          <w:tcPr>
            <w:tcW w:w="1340" w:type="dxa"/>
            <w:vAlign w:val="bottom"/>
            <w:tcBorders>
              <w:right w:val="single" w:sz="8" w:color="auto"/>
            </w:tcBorders>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398,204</w:t>
            </w:r>
          </w:p>
        </w:tc>
      </w:tr>
      <w:tr>
        <w:trPr>
          <w:trHeight w:val="215"/>
        </w:trPr>
        <w:tc>
          <w:tcPr>
            <w:tcW w:w="43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Segment income (000)</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8,492</w:t>
            </w:r>
          </w:p>
        </w:tc>
        <w:tc>
          <w:tcPr>
            <w:tcW w:w="1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8,492</w:t>
            </w:r>
          </w:p>
        </w:tc>
      </w:tr>
      <w:tr>
        <w:trPr>
          <w:trHeight w:val="217"/>
        </w:trPr>
        <w:tc>
          <w:tcPr>
            <w:tcW w:w="436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Segment depreciation and amortization (000)</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23,465</w:t>
            </w:r>
          </w:p>
        </w:tc>
        <w:tc>
          <w:tcPr>
            <w:tcW w:w="1340" w:type="dxa"/>
            <w:vAlign w:val="bottom"/>
            <w:tcBorders>
              <w:right w:val="single" w:sz="8" w:color="auto"/>
            </w:tcBorders>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23,465</w:t>
            </w:r>
          </w:p>
        </w:tc>
      </w:tr>
      <w:tr>
        <w:trPr>
          <w:trHeight w:val="216"/>
        </w:trPr>
        <w:tc>
          <w:tcPr>
            <w:tcW w:w="4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16"/>
                <w:szCs w:val="16"/>
                <w:color w:val="auto"/>
              </w:rPr>
              <w:t>Segment EBITDA (000)</w:t>
            </w:r>
            <w:r>
              <w:rPr>
                <w:rFonts w:ascii="Arial" w:cs="Arial" w:eastAsia="Arial" w:hAnsi="Arial"/>
                <w:sz w:val="21"/>
                <w:szCs w:val="21"/>
                <w:color w:val="auto"/>
                <w:vertAlign w:val="superscript"/>
              </w:rPr>
              <w:t>1</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31,957</w:t>
            </w:r>
          </w:p>
        </w:tc>
        <w:tc>
          <w:tcPr>
            <w:tcW w:w="1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31,957</w:t>
            </w:r>
          </w:p>
        </w:tc>
      </w:tr>
      <w:tr>
        <w:trPr>
          <w:trHeight w:val="216"/>
        </w:trPr>
        <w:tc>
          <w:tcPr>
            <w:tcW w:w="436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EBITDA as a percentage of sales</w:t>
            </w:r>
          </w:p>
        </w:tc>
        <w:tc>
          <w:tcPr>
            <w:tcW w:w="32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8.0 %</w:t>
            </w:r>
          </w:p>
        </w:tc>
        <w:tc>
          <w:tcPr>
            <w:tcW w:w="1340" w:type="dxa"/>
            <w:vAlign w:val="bottom"/>
            <w:tcBorders>
              <w:right w:val="single" w:sz="8" w:color="auto"/>
            </w:tcBorders>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8.0 %</w:t>
            </w:r>
          </w:p>
        </w:tc>
      </w:tr>
      <w:tr>
        <w:trPr>
          <w:trHeight w:val="215"/>
        </w:trPr>
        <w:tc>
          <w:tcPr>
            <w:tcW w:w="43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Capital spending (000)</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16,663</w:t>
            </w:r>
          </w:p>
        </w:tc>
        <w:tc>
          <w:tcPr>
            <w:tcW w:w="1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16,663</w:t>
            </w:r>
          </w:p>
        </w:tc>
      </w:tr>
      <w:tr>
        <w:trPr>
          <w:trHeight w:val="217"/>
        </w:trPr>
        <w:tc>
          <w:tcPr>
            <w:tcW w:w="436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Receivables (000)</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76,380</w:t>
            </w:r>
          </w:p>
        </w:tc>
        <w:tc>
          <w:tcPr>
            <w:tcW w:w="1340" w:type="dxa"/>
            <w:vAlign w:val="bottom"/>
            <w:tcBorders>
              <w:right w:val="single" w:sz="8" w:color="auto"/>
            </w:tcBorders>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tcBorders>
              <w:right w:val="single" w:sz="8" w:color="auto"/>
            </w:tcBorders>
            <w:shd w:val="clear" w:color="auto" w:fill="CCEEFF"/>
          </w:tcPr>
          <w:p>
            <w:pPr>
              <w:spacing w:after="0"/>
              <w:rPr>
                <w:sz w:val="18"/>
                <w:szCs w:val="18"/>
                <w:color w:val="auto"/>
              </w:rPr>
            </w:pPr>
          </w:p>
        </w:tc>
      </w:tr>
      <w:tr>
        <w:trPr>
          <w:trHeight w:val="215"/>
        </w:trPr>
        <w:tc>
          <w:tcPr>
            <w:tcW w:w="43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Inventories (000)</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242,385</w:t>
            </w:r>
          </w:p>
        </w:tc>
        <w:tc>
          <w:tcPr>
            <w:tcW w:w="1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r>
      <w:tr>
        <w:trPr>
          <w:trHeight w:val="216"/>
        </w:trPr>
        <w:tc>
          <w:tcPr>
            <w:tcW w:w="436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Accounts payable (000)</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65,222</w:t>
            </w:r>
          </w:p>
        </w:tc>
        <w:tc>
          <w:tcPr>
            <w:tcW w:w="1340" w:type="dxa"/>
            <w:vAlign w:val="bottom"/>
            <w:tcBorders>
              <w:bottom w:val="single" w:sz="8" w:color="auto"/>
              <w:right w:val="single" w:sz="8" w:color="auto"/>
            </w:tcBorders>
            <w:shd w:val="clear" w:color="auto" w:fill="CCEEFF"/>
          </w:tcPr>
          <w:p>
            <w:pPr>
              <w:spacing w:after="0"/>
              <w:rPr>
                <w:sz w:val="18"/>
                <w:szCs w:val="18"/>
                <w:color w:val="auto"/>
              </w:rPr>
            </w:pPr>
          </w:p>
        </w:tc>
        <w:tc>
          <w:tcPr>
            <w:tcW w:w="1340" w:type="dxa"/>
            <w:vAlign w:val="bottom"/>
            <w:tcBorders>
              <w:bottom w:val="single" w:sz="8" w:color="auto"/>
              <w:right w:val="single" w:sz="8" w:color="auto"/>
            </w:tcBorders>
            <w:shd w:val="clear" w:color="auto" w:fill="CCEEFF"/>
          </w:tcPr>
          <w:p>
            <w:pPr>
              <w:spacing w:after="0"/>
              <w:rPr>
                <w:sz w:val="18"/>
                <w:szCs w:val="18"/>
                <w:color w:val="auto"/>
              </w:rPr>
            </w:pPr>
          </w:p>
        </w:tc>
        <w:tc>
          <w:tcPr>
            <w:tcW w:w="1340" w:type="dxa"/>
            <w:vAlign w:val="bottom"/>
            <w:tcBorders>
              <w:bottom w:val="single" w:sz="8" w:color="auto"/>
              <w:right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right w:val="single" w:sz="8" w:color="auto"/>
            </w:tcBorders>
            <w:shd w:val="clear" w:color="auto" w:fill="CCEEFF"/>
          </w:tcPr>
          <w:p>
            <w:pPr>
              <w:spacing w:after="0"/>
              <w:rPr>
                <w:sz w:val="18"/>
                <w:szCs w:val="18"/>
                <w:color w:val="auto"/>
              </w:rPr>
            </w:pPr>
          </w:p>
        </w:tc>
      </w:tr>
    </w:tbl>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2025</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09"/>
        </w:trPr>
        <w:tc>
          <w:tcPr>
            <w:tcW w:w="4360" w:type="dxa"/>
            <w:vAlign w:val="bottom"/>
            <w:tcBorders>
              <w:bottom w:val="single" w:sz="8" w:color="CCEEFF"/>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479"/>
              <w:spacing w:after="0"/>
              <w:rPr>
                <w:sz w:val="20"/>
                <w:szCs w:val="20"/>
                <w:color w:val="auto"/>
              </w:rPr>
            </w:pPr>
            <w:r>
              <w:rPr>
                <w:rFonts w:ascii="Arial" w:cs="Arial" w:eastAsia="Arial" w:hAnsi="Arial"/>
                <w:sz w:val="16"/>
                <w:szCs w:val="16"/>
                <w:color w:val="auto"/>
              </w:rPr>
              <w:t>Q1</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499"/>
              <w:spacing w:after="0"/>
              <w:rPr>
                <w:sz w:val="20"/>
                <w:szCs w:val="20"/>
                <w:color w:val="auto"/>
              </w:rPr>
            </w:pPr>
            <w:r>
              <w:rPr>
                <w:rFonts w:ascii="Arial" w:cs="Arial" w:eastAsia="Arial" w:hAnsi="Arial"/>
                <w:sz w:val="16"/>
                <w:szCs w:val="16"/>
                <w:color w:val="auto"/>
              </w:rPr>
              <w:t>Q2</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Q3</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Q4</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right"/>
              <w:ind w:right="519"/>
              <w:spacing w:after="0"/>
              <w:rPr>
                <w:sz w:val="20"/>
                <w:szCs w:val="20"/>
                <w:color w:val="auto"/>
              </w:rPr>
            </w:pPr>
            <w:r>
              <w:rPr>
                <w:rFonts w:ascii="Arial" w:cs="Arial" w:eastAsia="Arial" w:hAnsi="Arial"/>
                <w:sz w:val="16"/>
                <w:szCs w:val="16"/>
                <w:color w:val="auto"/>
              </w:rPr>
              <w:t>YTD</w:t>
            </w:r>
          </w:p>
        </w:tc>
      </w:tr>
      <w:tr>
        <w:trPr>
          <w:trHeight w:val="210"/>
        </w:trPr>
        <w:tc>
          <w:tcPr>
            <w:tcW w:w="436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LVL sales volume (MCF)</w:t>
            </w:r>
          </w:p>
        </w:tc>
        <w:tc>
          <w:tcPr>
            <w:tcW w:w="32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4,616</w:t>
            </w:r>
          </w:p>
        </w:tc>
        <w:tc>
          <w:tcPr>
            <w:tcW w:w="32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5,457</w:t>
            </w:r>
          </w:p>
        </w:tc>
        <w:tc>
          <w:tcPr>
            <w:tcW w:w="32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4,612</w:t>
            </w:r>
          </w:p>
        </w:tc>
        <w:tc>
          <w:tcPr>
            <w:tcW w:w="32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4,228</w:t>
            </w:r>
          </w:p>
        </w:tc>
        <w:tc>
          <w:tcPr>
            <w:tcW w:w="320" w:type="dxa"/>
            <w:vAlign w:val="bottom"/>
            <w:shd w:val="clear" w:color="auto" w:fill="CCEEFF"/>
          </w:tcPr>
          <w:p>
            <w:pPr>
              <w:spacing w:after="0"/>
              <w:rPr>
                <w:sz w:val="18"/>
                <w:szCs w:val="18"/>
                <w:color w:val="auto"/>
              </w:rPr>
            </w:pPr>
          </w:p>
        </w:tc>
        <w:tc>
          <w:tcPr>
            <w:tcW w:w="118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18,913</w:t>
            </w:r>
          </w:p>
        </w:tc>
      </w:tr>
      <w:tr>
        <w:trPr>
          <w:trHeight w:val="215"/>
        </w:trPr>
        <w:tc>
          <w:tcPr>
            <w:tcW w:w="43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I-joist sales volume (MELF)</w:t>
            </w:r>
          </w:p>
        </w:tc>
        <w:tc>
          <w:tcPr>
            <w:tcW w:w="320" w:type="dxa"/>
            <w:vAlign w:val="bottom"/>
          </w:tcPr>
          <w:p>
            <w:pPr>
              <w:spacing w:after="0"/>
              <w:rPr>
                <w:sz w:val="18"/>
                <w:szCs w:val="18"/>
                <w:color w:val="auto"/>
              </w:rPr>
            </w:pP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54,711</w:t>
            </w:r>
          </w:p>
        </w:tc>
        <w:tc>
          <w:tcPr>
            <w:tcW w:w="320" w:type="dxa"/>
            <w:vAlign w:val="bottom"/>
          </w:tcPr>
          <w:p>
            <w:pPr>
              <w:spacing w:after="0"/>
              <w:rPr>
                <w:sz w:val="18"/>
                <w:szCs w:val="18"/>
                <w:color w:val="auto"/>
              </w:rPr>
            </w:pP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62,469</w:t>
            </w:r>
          </w:p>
        </w:tc>
        <w:tc>
          <w:tcPr>
            <w:tcW w:w="320" w:type="dxa"/>
            <w:vAlign w:val="bottom"/>
          </w:tcPr>
          <w:p>
            <w:pPr>
              <w:spacing w:after="0"/>
              <w:rPr>
                <w:sz w:val="18"/>
                <w:szCs w:val="18"/>
                <w:color w:val="auto"/>
              </w:rPr>
            </w:pP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53,232</w:t>
            </w:r>
          </w:p>
        </w:tc>
        <w:tc>
          <w:tcPr>
            <w:tcW w:w="320" w:type="dxa"/>
            <w:vAlign w:val="bottom"/>
          </w:tcPr>
          <w:p>
            <w:pPr>
              <w:spacing w:after="0"/>
              <w:rPr>
                <w:sz w:val="18"/>
                <w:szCs w:val="18"/>
                <w:color w:val="auto"/>
              </w:rPr>
            </w:pPr>
          </w:p>
        </w:tc>
        <w:tc>
          <w:tcPr>
            <w:tcW w:w="102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44,753</w:t>
            </w:r>
          </w:p>
        </w:tc>
        <w:tc>
          <w:tcPr>
            <w:tcW w:w="320" w:type="dxa"/>
            <w:vAlign w:val="bottom"/>
          </w:tcPr>
          <w:p>
            <w:pPr>
              <w:spacing w:after="0"/>
              <w:rPr>
                <w:sz w:val="18"/>
                <w:szCs w:val="18"/>
                <w:color w:val="auto"/>
              </w:rPr>
            </w:pPr>
          </w:p>
        </w:tc>
        <w:tc>
          <w:tcPr>
            <w:tcW w:w="118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215,165</w:t>
            </w:r>
          </w:p>
        </w:tc>
      </w:tr>
      <w:tr>
        <w:trPr>
          <w:trHeight w:val="217"/>
        </w:trPr>
        <w:tc>
          <w:tcPr>
            <w:tcW w:w="436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Plywood sales volume (MSF 3/8")</w:t>
            </w:r>
          </w:p>
        </w:tc>
        <w:tc>
          <w:tcPr>
            <w:tcW w:w="32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362,779</w:t>
            </w:r>
          </w:p>
        </w:tc>
        <w:tc>
          <w:tcPr>
            <w:tcW w:w="32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355,714</w:t>
            </w:r>
          </w:p>
        </w:tc>
        <w:tc>
          <w:tcPr>
            <w:tcW w:w="32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387,278</w:t>
            </w:r>
          </w:p>
        </w:tc>
        <w:tc>
          <w:tcPr>
            <w:tcW w:w="32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353,989</w:t>
            </w:r>
          </w:p>
        </w:tc>
        <w:tc>
          <w:tcPr>
            <w:tcW w:w="320" w:type="dxa"/>
            <w:vAlign w:val="bottom"/>
            <w:shd w:val="clear" w:color="auto" w:fill="CCEEFF"/>
          </w:tcPr>
          <w:p>
            <w:pPr>
              <w:spacing w:after="0"/>
              <w:rPr>
                <w:sz w:val="18"/>
                <w:szCs w:val="18"/>
                <w:color w:val="auto"/>
              </w:rPr>
            </w:pPr>
          </w:p>
        </w:tc>
        <w:tc>
          <w:tcPr>
            <w:tcW w:w="118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1,459,760</w:t>
            </w:r>
          </w:p>
        </w:tc>
      </w:tr>
      <w:tr>
        <w:trPr>
          <w:trHeight w:val="215"/>
        </w:trPr>
        <w:tc>
          <w:tcPr>
            <w:tcW w:w="43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Lumber sales volume (MBF)</w:t>
            </w:r>
          </w:p>
        </w:tc>
        <w:tc>
          <w:tcPr>
            <w:tcW w:w="320" w:type="dxa"/>
            <w:vAlign w:val="bottom"/>
          </w:tcPr>
          <w:p>
            <w:pPr>
              <w:spacing w:after="0"/>
              <w:rPr>
                <w:sz w:val="18"/>
                <w:szCs w:val="18"/>
                <w:color w:val="auto"/>
              </w:rPr>
            </w:pP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19,830</w:t>
            </w:r>
          </w:p>
        </w:tc>
        <w:tc>
          <w:tcPr>
            <w:tcW w:w="320" w:type="dxa"/>
            <w:vAlign w:val="bottom"/>
          </w:tcPr>
          <w:p>
            <w:pPr>
              <w:spacing w:after="0"/>
              <w:rPr>
                <w:sz w:val="18"/>
                <w:szCs w:val="18"/>
                <w:color w:val="auto"/>
              </w:rPr>
            </w:pP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18,126</w:t>
            </w:r>
          </w:p>
        </w:tc>
        <w:tc>
          <w:tcPr>
            <w:tcW w:w="320" w:type="dxa"/>
            <w:vAlign w:val="bottom"/>
          </w:tcPr>
          <w:p>
            <w:pPr>
              <w:spacing w:after="0"/>
              <w:rPr>
                <w:sz w:val="18"/>
                <w:szCs w:val="18"/>
                <w:color w:val="auto"/>
              </w:rPr>
            </w:pP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17,919</w:t>
            </w:r>
          </w:p>
        </w:tc>
        <w:tc>
          <w:tcPr>
            <w:tcW w:w="320" w:type="dxa"/>
            <w:vAlign w:val="bottom"/>
          </w:tcPr>
          <w:p>
            <w:pPr>
              <w:spacing w:after="0"/>
              <w:rPr>
                <w:sz w:val="18"/>
                <w:szCs w:val="18"/>
                <w:color w:val="auto"/>
              </w:rPr>
            </w:pPr>
          </w:p>
        </w:tc>
        <w:tc>
          <w:tcPr>
            <w:tcW w:w="102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17,327</w:t>
            </w:r>
          </w:p>
        </w:tc>
        <w:tc>
          <w:tcPr>
            <w:tcW w:w="320" w:type="dxa"/>
            <w:vAlign w:val="bottom"/>
          </w:tcPr>
          <w:p>
            <w:pPr>
              <w:spacing w:after="0"/>
              <w:rPr>
                <w:sz w:val="18"/>
                <w:szCs w:val="18"/>
                <w:color w:val="auto"/>
              </w:rPr>
            </w:pPr>
          </w:p>
        </w:tc>
        <w:tc>
          <w:tcPr>
            <w:tcW w:w="118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73,202</w:t>
            </w:r>
          </w:p>
        </w:tc>
      </w:tr>
      <w:tr>
        <w:trPr>
          <w:trHeight w:val="217"/>
        </w:trPr>
        <w:tc>
          <w:tcPr>
            <w:tcW w:w="436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LVL mill net sales price ($/CF)</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26.09</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25.22</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24.03</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24.13</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24.90</w:t>
            </w:r>
          </w:p>
        </w:tc>
      </w:tr>
      <w:tr>
        <w:trPr>
          <w:trHeight w:val="215"/>
        </w:trPr>
        <w:tc>
          <w:tcPr>
            <w:tcW w:w="43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I-joist mill net sales price ($/MELF)</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1,833</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1,801</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1,684</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1,683</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1,755</w:t>
            </w:r>
          </w:p>
        </w:tc>
      </w:tr>
      <w:tr>
        <w:trPr>
          <w:trHeight w:val="217"/>
        </w:trPr>
        <w:tc>
          <w:tcPr>
            <w:tcW w:w="436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Plywood net sales price ($/MSF 3/8")</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341</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342</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325</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329</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334</w:t>
            </w:r>
          </w:p>
        </w:tc>
      </w:tr>
      <w:tr>
        <w:trPr>
          <w:trHeight w:val="215"/>
        </w:trPr>
        <w:tc>
          <w:tcPr>
            <w:tcW w:w="43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Lumber net sales price ($/MBF)</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619</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678</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651</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569</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629</w:t>
            </w:r>
          </w:p>
        </w:tc>
      </w:tr>
      <w:tr>
        <w:trPr>
          <w:trHeight w:val="217"/>
        </w:trPr>
        <w:tc>
          <w:tcPr>
            <w:tcW w:w="436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Segment sales (000)</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415,845</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447,235</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396,401</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353,960</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1,613,441</w:t>
            </w:r>
          </w:p>
        </w:tc>
      </w:tr>
      <w:tr>
        <w:trPr>
          <w:trHeight w:val="215"/>
        </w:trPr>
        <w:tc>
          <w:tcPr>
            <w:tcW w:w="43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Segment income (loss) (000)</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17,709</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13,976</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(12,055)</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(13,794)</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5,836</w:t>
            </w:r>
          </w:p>
        </w:tc>
      </w:tr>
      <w:tr>
        <w:trPr>
          <w:trHeight w:val="217"/>
        </w:trPr>
        <w:tc>
          <w:tcPr>
            <w:tcW w:w="436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Segment depreciation and amortization (000)</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22,486</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23,316</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26,561</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26,093</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98,456</w:t>
            </w:r>
          </w:p>
        </w:tc>
      </w:tr>
      <w:tr>
        <w:trPr>
          <w:trHeight w:val="216"/>
        </w:trPr>
        <w:tc>
          <w:tcPr>
            <w:tcW w:w="4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16"/>
                <w:szCs w:val="16"/>
                <w:color w:val="auto"/>
              </w:rPr>
              <w:t>Segment EBITDA (000)</w:t>
            </w:r>
            <w:r>
              <w:rPr>
                <w:rFonts w:ascii="Arial" w:cs="Arial" w:eastAsia="Arial" w:hAnsi="Arial"/>
                <w:sz w:val="21"/>
                <w:szCs w:val="21"/>
                <w:color w:val="auto"/>
                <w:vertAlign w:val="superscript"/>
              </w:rPr>
              <w:t>1</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40,195</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37,292</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14,506</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12,299</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104,292</w:t>
            </w:r>
          </w:p>
        </w:tc>
      </w:tr>
      <w:tr>
        <w:trPr>
          <w:trHeight w:val="216"/>
        </w:trPr>
        <w:tc>
          <w:tcPr>
            <w:tcW w:w="436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EBITDA as a percentage of sales</w:t>
            </w:r>
          </w:p>
        </w:tc>
        <w:tc>
          <w:tcPr>
            <w:tcW w:w="32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32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32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32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320" w:type="dxa"/>
            <w:vAlign w:val="bottom"/>
            <w:shd w:val="clear" w:color="auto" w:fill="CCEEFF"/>
          </w:tcPr>
          <w:p>
            <w:pPr>
              <w:spacing w:after="0"/>
              <w:rPr>
                <w:sz w:val="18"/>
                <w:szCs w:val="18"/>
                <w:color w:val="auto"/>
              </w:rPr>
            </w:pP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6.5 %</w:t>
            </w:r>
          </w:p>
        </w:tc>
      </w:tr>
      <w:tr>
        <w:trPr>
          <w:trHeight w:val="216"/>
        </w:trPr>
        <w:tc>
          <w:tcPr>
            <w:tcW w:w="4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16"/>
                <w:szCs w:val="16"/>
                <w:color w:val="auto"/>
              </w:rPr>
              <w:t>Capital spending (000)</w:t>
            </w:r>
            <w:r>
              <w:rPr>
                <w:rFonts w:ascii="Arial" w:cs="Arial" w:eastAsia="Arial" w:hAnsi="Arial"/>
                <w:sz w:val="21"/>
                <w:szCs w:val="21"/>
                <w:color w:val="auto"/>
                <w:vertAlign w:val="superscript"/>
              </w:rPr>
              <w:t>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30,689</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39,358</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28,823</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37,720</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136,590</w:t>
            </w:r>
          </w:p>
        </w:tc>
      </w:tr>
      <w:tr>
        <w:trPr>
          <w:trHeight w:val="216"/>
        </w:trPr>
        <w:tc>
          <w:tcPr>
            <w:tcW w:w="436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Receivables (000)</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74,469</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77,128</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70,330</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46,998</w:t>
            </w:r>
          </w:p>
        </w:tc>
        <w:tc>
          <w:tcPr>
            <w:tcW w:w="320" w:type="dxa"/>
            <w:vAlign w:val="bottom"/>
            <w:shd w:val="clear" w:color="auto" w:fill="CCEEFF"/>
          </w:tcPr>
          <w:p>
            <w:pPr>
              <w:spacing w:after="0"/>
              <w:rPr>
                <w:sz w:val="18"/>
                <w:szCs w:val="18"/>
                <w:color w:val="auto"/>
              </w:rPr>
            </w:pPr>
          </w:p>
        </w:tc>
        <w:tc>
          <w:tcPr>
            <w:tcW w:w="1180" w:type="dxa"/>
            <w:vAlign w:val="bottom"/>
            <w:tcBorders>
              <w:right w:val="single" w:sz="8" w:color="auto"/>
            </w:tcBorders>
            <w:shd w:val="clear" w:color="auto" w:fill="CCEEFF"/>
          </w:tcPr>
          <w:p>
            <w:pPr>
              <w:spacing w:after="0"/>
              <w:rPr>
                <w:sz w:val="18"/>
                <w:szCs w:val="18"/>
                <w:color w:val="auto"/>
              </w:rPr>
            </w:pPr>
          </w:p>
        </w:tc>
      </w:tr>
      <w:tr>
        <w:trPr>
          <w:trHeight w:val="215"/>
        </w:trPr>
        <w:tc>
          <w:tcPr>
            <w:tcW w:w="43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Inventories (000)</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260,464</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257,046</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256,341</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252,479</w:t>
            </w:r>
          </w:p>
        </w:tc>
        <w:tc>
          <w:tcPr>
            <w:tcW w:w="32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16"/>
        </w:trPr>
        <w:tc>
          <w:tcPr>
            <w:tcW w:w="436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Accounts payable (000)</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74,749</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76,124</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66,265</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right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51,976</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auto"/>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40" w:top="1232" w:right="339" w:bottom="1440" w:gutter="0" w:footer="0" w:header="0"/>
        </w:sectPr>
      </w:pPr>
    </w:p>
    <w:bookmarkStart w:id="21" w:name="page22"/>
    <w:bookmarkEnd w:id="21"/>
    <w:p>
      <w:pPr>
        <w:jc w:val="center"/>
        <w:ind w:right="20"/>
        <w:spacing w:after="0"/>
        <w:rPr>
          <w:sz w:val="20"/>
          <w:szCs w:val="20"/>
          <w:color w:val="auto"/>
        </w:rPr>
      </w:pPr>
      <w:r>
        <w:rPr>
          <w:rFonts w:ascii="Arial" w:cs="Arial" w:eastAsia="Arial" w:hAnsi="Arial"/>
          <w:sz w:val="22"/>
          <w:szCs w:val="22"/>
          <w:b w:val="1"/>
          <w:bCs w:val="1"/>
          <w:color w:val="auto"/>
        </w:rPr>
        <w:t>Boise Cascade Company</w:t>
      </w:r>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Quarterly Statistical Information (continued)</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Wood Products Segment (continued)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2024</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09"/>
        </w:trPr>
        <w:tc>
          <w:tcPr>
            <w:tcW w:w="4440" w:type="dxa"/>
            <w:vAlign w:val="bottom"/>
            <w:tcBorders>
              <w:bottom w:val="single" w:sz="8" w:color="CCEEFF"/>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499"/>
              <w:spacing w:after="0"/>
              <w:rPr>
                <w:sz w:val="20"/>
                <w:szCs w:val="20"/>
                <w:color w:val="auto"/>
              </w:rPr>
            </w:pPr>
            <w:r>
              <w:rPr>
                <w:rFonts w:ascii="Arial" w:cs="Arial" w:eastAsia="Arial" w:hAnsi="Arial"/>
                <w:sz w:val="16"/>
                <w:szCs w:val="16"/>
                <w:color w:val="auto"/>
              </w:rPr>
              <w:t>Q1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499"/>
              <w:spacing w:after="0"/>
              <w:rPr>
                <w:sz w:val="20"/>
                <w:szCs w:val="20"/>
                <w:color w:val="auto"/>
              </w:rPr>
            </w:pPr>
            <w:r>
              <w:rPr>
                <w:rFonts w:ascii="Arial" w:cs="Arial" w:eastAsia="Arial" w:hAnsi="Arial"/>
                <w:sz w:val="16"/>
                <w:szCs w:val="16"/>
                <w:color w:val="auto"/>
              </w:rPr>
              <w:t>Q2</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Q3</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479"/>
              <w:spacing w:after="0"/>
              <w:rPr>
                <w:sz w:val="20"/>
                <w:szCs w:val="20"/>
                <w:color w:val="auto"/>
              </w:rPr>
            </w:pPr>
            <w:r>
              <w:rPr>
                <w:rFonts w:ascii="Arial" w:cs="Arial" w:eastAsia="Arial" w:hAnsi="Arial"/>
                <w:sz w:val="16"/>
                <w:szCs w:val="16"/>
                <w:color w:val="auto"/>
              </w:rPr>
              <w:t>Q4</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499"/>
              <w:spacing w:after="0"/>
              <w:rPr>
                <w:sz w:val="20"/>
                <w:szCs w:val="20"/>
                <w:color w:val="auto"/>
              </w:rPr>
            </w:pPr>
            <w:r>
              <w:rPr>
                <w:rFonts w:ascii="Arial" w:cs="Arial" w:eastAsia="Arial" w:hAnsi="Arial"/>
                <w:sz w:val="16"/>
                <w:szCs w:val="16"/>
                <w:color w:val="auto"/>
              </w:rPr>
              <w:t>YTD</w:t>
            </w:r>
          </w:p>
        </w:tc>
      </w:tr>
      <w:tr>
        <w:trPr>
          <w:trHeight w:val="210"/>
        </w:trPr>
        <w:tc>
          <w:tcPr>
            <w:tcW w:w="444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LVL sales volume (MCF)</w:t>
            </w:r>
          </w:p>
        </w:tc>
        <w:tc>
          <w:tcPr>
            <w:tcW w:w="32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4,777</w:t>
            </w:r>
          </w:p>
        </w:tc>
        <w:tc>
          <w:tcPr>
            <w:tcW w:w="30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5,074</w:t>
            </w:r>
          </w:p>
        </w:tc>
        <w:tc>
          <w:tcPr>
            <w:tcW w:w="30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4,952</w:t>
            </w:r>
          </w:p>
        </w:tc>
        <w:tc>
          <w:tcPr>
            <w:tcW w:w="30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4,561</w:t>
            </w:r>
          </w:p>
        </w:tc>
        <w:tc>
          <w:tcPr>
            <w:tcW w:w="320" w:type="dxa"/>
            <w:vAlign w:val="bottom"/>
            <w:shd w:val="clear" w:color="auto" w:fill="CCEEFF"/>
          </w:tcPr>
          <w:p>
            <w:pPr>
              <w:spacing w:after="0"/>
              <w:rPr>
                <w:sz w:val="18"/>
                <w:szCs w:val="18"/>
                <w:color w:val="auto"/>
              </w:rPr>
            </w:pPr>
          </w:p>
        </w:tc>
        <w:tc>
          <w:tcPr>
            <w:tcW w:w="116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19,364</w:t>
            </w:r>
          </w:p>
        </w:tc>
      </w:tr>
      <w:tr>
        <w:trPr>
          <w:trHeight w:val="215"/>
        </w:trPr>
        <w:tc>
          <w:tcPr>
            <w:tcW w:w="44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I-joist sales volume (MELF)</w:t>
            </w:r>
          </w:p>
        </w:tc>
        <w:tc>
          <w:tcPr>
            <w:tcW w:w="320" w:type="dxa"/>
            <w:vAlign w:val="bottom"/>
          </w:tcPr>
          <w:p>
            <w:pPr>
              <w:spacing w:after="0"/>
              <w:rPr>
                <w:sz w:val="18"/>
                <w:szCs w:val="18"/>
                <w:color w:val="auto"/>
              </w:rPr>
            </w:pPr>
          </w:p>
        </w:tc>
        <w:tc>
          <w:tcPr>
            <w:tcW w:w="102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56,587</w:t>
            </w:r>
          </w:p>
        </w:tc>
        <w:tc>
          <w:tcPr>
            <w:tcW w:w="300" w:type="dxa"/>
            <w:vAlign w:val="bottom"/>
          </w:tcPr>
          <w:p>
            <w:pPr>
              <w:spacing w:after="0"/>
              <w:rPr>
                <w:sz w:val="18"/>
                <w:szCs w:val="18"/>
                <w:color w:val="auto"/>
              </w:rPr>
            </w:pPr>
          </w:p>
        </w:tc>
        <w:tc>
          <w:tcPr>
            <w:tcW w:w="102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65,788</w:t>
            </w:r>
          </w:p>
        </w:tc>
        <w:tc>
          <w:tcPr>
            <w:tcW w:w="300" w:type="dxa"/>
            <w:vAlign w:val="bottom"/>
          </w:tcPr>
          <w:p>
            <w:pPr>
              <w:spacing w:after="0"/>
              <w:rPr>
                <w:sz w:val="18"/>
                <w:szCs w:val="18"/>
                <w:color w:val="auto"/>
              </w:rPr>
            </w:pP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58,884</w:t>
            </w:r>
          </w:p>
        </w:tc>
        <w:tc>
          <w:tcPr>
            <w:tcW w:w="300" w:type="dxa"/>
            <w:vAlign w:val="bottom"/>
          </w:tcPr>
          <w:p>
            <w:pPr>
              <w:spacing w:after="0"/>
              <w:rPr>
                <w:sz w:val="18"/>
                <w:szCs w:val="18"/>
                <w:color w:val="auto"/>
              </w:rPr>
            </w:pP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53,081</w:t>
            </w:r>
          </w:p>
        </w:tc>
        <w:tc>
          <w:tcPr>
            <w:tcW w:w="320" w:type="dxa"/>
            <w:vAlign w:val="bottom"/>
          </w:tcPr>
          <w:p>
            <w:pPr>
              <w:spacing w:after="0"/>
              <w:rPr>
                <w:sz w:val="18"/>
                <w:szCs w:val="18"/>
                <w:color w:val="auto"/>
              </w:rPr>
            </w:pPr>
          </w:p>
        </w:tc>
        <w:tc>
          <w:tcPr>
            <w:tcW w:w="116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234,340</w:t>
            </w:r>
          </w:p>
        </w:tc>
      </w:tr>
      <w:tr>
        <w:trPr>
          <w:trHeight w:val="217"/>
        </w:trPr>
        <w:tc>
          <w:tcPr>
            <w:tcW w:w="444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Plywood sales volume (MSF 3/8")</w:t>
            </w:r>
          </w:p>
        </w:tc>
        <w:tc>
          <w:tcPr>
            <w:tcW w:w="32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371,699</w:t>
            </w:r>
          </w:p>
        </w:tc>
        <w:tc>
          <w:tcPr>
            <w:tcW w:w="30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383,092</w:t>
            </w:r>
          </w:p>
        </w:tc>
        <w:tc>
          <w:tcPr>
            <w:tcW w:w="30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390,978</w:t>
            </w:r>
          </w:p>
        </w:tc>
        <w:tc>
          <w:tcPr>
            <w:tcW w:w="30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371,263</w:t>
            </w:r>
          </w:p>
        </w:tc>
        <w:tc>
          <w:tcPr>
            <w:tcW w:w="320" w:type="dxa"/>
            <w:vAlign w:val="bottom"/>
            <w:shd w:val="clear" w:color="auto" w:fill="CCEEFF"/>
          </w:tcPr>
          <w:p>
            <w:pPr>
              <w:spacing w:after="0"/>
              <w:rPr>
                <w:sz w:val="18"/>
                <w:szCs w:val="18"/>
                <w:color w:val="auto"/>
              </w:rPr>
            </w:pPr>
          </w:p>
        </w:tc>
        <w:tc>
          <w:tcPr>
            <w:tcW w:w="116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1,517,032</w:t>
            </w:r>
          </w:p>
        </w:tc>
      </w:tr>
      <w:tr>
        <w:trPr>
          <w:trHeight w:val="215"/>
        </w:trPr>
        <w:tc>
          <w:tcPr>
            <w:tcW w:w="44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Lumber sales volume (MBF)</w:t>
            </w:r>
          </w:p>
        </w:tc>
        <w:tc>
          <w:tcPr>
            <w:tcW w:w="320" w:type="dxa"/>
            <w:vAlign w:val="bottom"/>
          </w:tcPr>
          <w:p>
            <w:pPr>
              <w:spacing w:after="0"/>
              <w:rPr>
                <w:sz w:val="18"/>
                <w:szCs w:val="18"/>
                <w:color w:val="auto"/>
              </w:rPr>
            </w:pPr>
          </w:p>
        </w:tc>
        <w:tc>
          <w:tcPr>
            <w:tcW w:w="102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22,772</w:t>
            </w:r>
          </w:p>
        </w:tc>
        <w:tc>
          <w:tcPr>
            <w:tcW w:w="300" w:type="dxa"/>
            <w:vAlign w:val="bottom"/>
          </w:tcPr>
          <w:p>
            <w:pPr>
              <w:spacing w:after="0"/>
              <w:rPr>
                <w:sz w:val="18"/>
                <w:szCs w:val="18"/>
                <w:color w:val="auto"/>
              </w:rPr>
            </w:pPr>
          </w:p>
        </w:tc>
        <w:tc>
          <w:tcPr>
            <w:tcW w:w="102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17,619</w:t>
            </w:r>
          </w:p>
        </w:tc>
        <w:tc>
          <w:tcPr>
            <w:tcW w:w="300" w:type="dxa"/>
            <w:vAlign w:val="bottom"/>
          </w:tcPr>
          <w:p>
            <w:pPr>
              <w:spacing w:after="0"/>
              <w:rPr>
                <w:sz w:val="18"/>
                <w:szCs w:val="18"/>
                <w:color w:val="auto"/>
              </w:rPr>
            </w:pP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19,390</w:t>
            </w:r>
          </w:p>
        </w:tc>
        <w:tc>
          <w:tcPr>
            <w:tcW w:w="300" w:type="dxa"/>
            <w:vAlign w:val="bottom"/>
          </w:tcPr>
          <w:p>
            <w:pPr>
              <w:spacing w:after="0"/>
              <w:rPr>
                <w:sz w:val="18"/>
                <w:szCs w:val="18"/>
                <w:color w:val="auto"/>
              </w:rPr>
            </w:pP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18,429</w:t>
            </w:r>
          </w:p>
        </w:tc>
        <w:tc>
          <w:tcPr>
            <w:tcW w:w="320" w:type="dxa"/>
            <w:vAlign w:val="bottom"/>
          </w:tcPr>
          <w:p>
            <w:pPr>
              <w:spacing w:after="0"/>
              <w:rPr>
                <w:sz w:val="18"/>
                <w:szCs w:val="18"/>
                <w:color w:val="auto"/>
              </w:rPr>
            </w:pPr>
          </w:p>
        </w:tc>
        <w:tc>
          <w:tcPr>
            <w:tcW w:w="116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78,210</w:t>
            </w:r>
          </w:p>
        </w:tc>
      </w:tr>
      <w:tr>
        <w:trPr>
          <w:trHeight w:val="217"/>
        </w:trPr>
        <w:tc>
          <w:tcPr>
            <w:tcW w:w="444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LVL mill net sales price ($/CF)</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28.75</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28.12</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27.62</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26.93</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27.87</w:t>
            </w:r>
          </w:p>
        </w:tc>
      </w:tr>
      <w:tr>
        <w:trPr>
          <w:trHeight w:val="215"/>
        </w:trPr>
        <w:tc>
          <w:tcPr>
            <w:tcW w:w="44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I-joist mill net sales price ($/MELF)</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2,018</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1,961</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1,921</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1,894</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1,949</w:t>
            </w:r>
          </w:p>
        </w:tc>
      </w:tr>
      <w:tr>
        <w:trPr>
          <w:trHeight w:val="217"/>
        </w:trPr>
        <w:tc>
          <w:tcPr>
            <w:tcW w:w="444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Plywood net sales price ($/MSF 3/8")</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378</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362</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333</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350</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355</w:t>
            </w:r>
          </w:p>
        </w:tc>
      </w:tr>
      <w:tr>
        <w:trPr>
          <w:trHeight w:val="215"/>
        </w:trPr>
        <w:tc>
          <w:tcPr>
            <w:tcW w:w="44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Lumber net sales price ($/MBF)</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650</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751</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705</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632</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682</w:t>
            </w:r>
          </w:p>
        </w:tc>
      </w:tr>
      <w:tr>
        <w:trPr>
          <w:trHeight w:val="217"/>
        </w:trPr>
        <w:tc>
          <w:tcPr>
            <w:tcW w:w="444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Segment sales (000)</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468,928</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489,823</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453,896</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419,670</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1,832,317</w:t>
            </w:r>
          </w:p>
        </w:tc>
      </w:tr>
      <w:tr>
        <w:trPr>
          <w:trHeight w:val="215"/>
        </w:trPr>
        <w:tc>
          <w:tcPr>
            <w:tcW w:w="44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Segment income (000)</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71,238</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72,780</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53,853</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33,583</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231,454</w:t>
            </w:r>
          </w:p>
        </w:tc>
      </w:tr>
      <w:tr>
        <w:trPr>
          <w:trHeight w:val="217"/>
        </w:trPr>
        <w:tc>
          <w:tcPr>
            <w:tcW w:w="4440" w:type="dxa"/>
            <w:vAlign w:val="bottom"/>
            <w:tcBorders>
              <w:right w:val="single" w:sz="8" w:color="auto"/>
            </w:tcBorders>
            <w:shd w:val="clear" w:color="auto" w:fill="CCEEFF"/>
          </w:tcPr>
          <w:p>
            <w:pPr>
              <w:ind w:left="60"/>
              <w:spacing w:after="0" w:line="217" w:lineRule="exact"/>
              <w:rPr>
                <w:sz w:val="20"/>
                <w:szCs w:val="20"/>
                <w:color w:val="auto"/>
              </w:rPr>
            </w:pPr>
            <w:r>
              <w:rPr>
                <w:rFonts w:ascii="Arial" w:cs="Arial" w:eastAsia="Arial" w:hAnsi="Arial"/>
                <w:sz w:val="16"/>
                <w:szCs w:val="16"/>
                <w:color w:val="auto"/>
              </w:rPr>
              <w:t>Segment depreciation and amortization (000)</w:t>
            </w:r>
            <w:r>
              <w:rPr>
                <w:rFonts w:ascii="Arial" w:cs="Arial" w:eastAsia="Arial" w:hAnsi="Arial"/>
                <w:sz w:val="21"/>
                <w:szCs w:val="21"/>
                <w:color w:val="auto"/>
                <w:vertAlign w:val="superscript"/>
              </w:rPr>
              <w:t>3</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24,384</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22,270</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23,551</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22,998</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93,203</w:t>
            </w:r>
          </w:p>
        </w:tc>
      </w:tr>
      <w:tr>
        <w:trPr>
          <w:trHeight w:val="216"/>
        </w:trPr>
        <w:tc>
          <w:tcPr>
            <w:tcW w:w="44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16"/>
                <w:szCs w:val="16"/>
                <w:color w:val="auto"/>
              </w:rPr>
              <w:t>Segment EBITDA (000)</w:t>
            </w:r>
            <w:r>
              <w:rPr>
                <w:rFonts w:ascii="Arial" w:cs="Arial" w:eastAsia="Arial" w:hAnsi="Arial"/>
                <w:sz w:val="21"/>
                <w:szCs w:val="21"/>
                <w:color w:val="auto"/>
                <w:vertAlign w:val="superscript"/>
              </w:rPr>
              <w:t>1</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95,622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95,050</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77,404</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56,581</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324,657</w:t>
            </w:r>
          </w:p>
        </w:tc>
      </w:tr>
      <w:tr>
        <w:trPr>
          <w:trHeight w:val="216"/>
        </w:trPr>
        <w:tc>
          <w:tcPr>
            <w:tcW w:w="444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EBITDA as a percentage of sales</w:t>
            </w:r>
          </w:p>
        </w:tc>
        <w:tc>
          <w:tcPr>
            <w:tcW w:w="32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20.4 %</w:t>
            </w:r>
          </w:p>
        </w:tc>
        <w:tc>
          <w:tcPr>
            <w:tcW w:w="30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19.4 %</w:t>
            </w:r>
          </w:p>
        </w:tc>
        <w:tc>
          <w:tcPr>
            <w:tcW w:w="30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17.1 %</w:t>
            </w:r>
          </w:p>
        </w:tc>
        <w:tc>
          <w:tcPr>
            <w:tcW w:w="30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13.5 %</w:t>
            </w:r>
          </w:p>
        </w:tc>
        <w:tc>
          <w:tcPr>
            <w:tcW w:w="320" w:type="dxa"/>
            <w:vAlign w:val="bottom"/>
            <w:shd w:val="clear" w:color="auto" w:fill="CCEEFF"/>
          </w:tcPr>
          <w:p>
            <w:pPr>
              <w:spacing w:after="0"/>
              <w:rPr>
                <w:sz w:val="18"/>
                <w:szCs w:val="18"/>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17.7 %</w:t>
            </w:r>
          </w:p>
        </w:tc>
      </w:tr>
      <w:tr>
        <w:trPr>
          <w:trHeight w:val="216"/>
        </w:trPr>
        <w:tc>
          <w:tcPr>
            <w:tcW w:w="44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16"/>
                <w:szCs w:val="16"/>
                <w:color w:val="auto"/>
              </w:rPr>
              <w:t>Capital spending (000)</w:t>
            </w:r>
            <w:r>
              <w:rPr>
                <w:rFonts w:ascii="Arial" w:cs="Arial" w:eastAsia="Arial" w:hAnsi="Arial"/>
                <w:sz w:val="21"/>
                <w:szCs w:val="21"/>
                <w:color w:val="auto"/>
                <w:vertAlign w:val="superscript"/>
              </w:rPr>
              <w:t>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19,643</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17,804</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24,760</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59,663</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121,870</w:t>
            </w:r>
          </w:p>
        </w:tc>
      </w:tr>
      <w:tr>
        <w:trPr>
          <w:trHeight w:val="216"/>
        </w:trPr>
        <w:tc>
          <w:tcPr>
            <w:tcW w:w="444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Receivables (000)</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84,892</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83,445</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77,244</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55,719</w:t>
            </w:r>
          </w:p>
        </w:tc>
        <w:tc>
          <w:tcPr>
            <w:tcW w:w="320" w:type="dxa"/>
            <w:vAlign w:val="bottom"/>
            <w:shd w:val="clear" w:color="auto" w:fill="CCEEFF"/>
          </w:tcPr>
          <w:p>
            <w:pPr>
              <w:spacing w:after="0"/>
              <w:rPr>
                <w:sz w:val="18"/>
                <w:szCs w:val="18"/>
                <w:color w:val="auto"/>
              </w:rPr>
            </w:pPr>
          </w:p>
        </w:tc>
        <w:tc>
          <w:tcPr>
            <w:tcW w:w="1160" w:type="dxa"/>
            <w:vAlign w:val="bottom"/>
            <w:tcBorders>
              <w:right w:val="single" w:sz="8" w:color="auto"/>
            </w:tcBorders>
            <w:shd w:val="clear" w:color="auto" w:fill="CCEEFF"/>
          </w:tcPr>
          <w:p>
            <w:pPr>
              <w:spacing w:after="0"/>
              <w:rPr>
                <w:sz w:val="18"/>
                <w:szCs w:val="18"/>
                <w:color w:val="auto"/>
              </w:rPr>
            </w:pPr>
          </w:p>
        </w:tc>
      </w:tr>
      <w:tr>
        <w:trPr>
          <w:trHeight w:val="215"/>
        </w:trPr>
        <w:tc>
          <w:tcPr>
            <w:tcW w:w="44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Inventories (000)</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213,050</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206,198</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226,300</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245,320</w:t>
            </w:r>
          </w:p>
        </w:tc>
        <w:tc>
          <w:tcPr>
            <w:tcW w:w="32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r>
      <w:tr>
        <w:trPr>
          <w:trHeight w:val="216"/>
        </w:trPr>
        <w:tc>
          <w:tcPr>
            <w:tcW w:w="444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Accounts payable (000)</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right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61,834</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right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66,374</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73,922</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61,800</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right w:val="single" w:sz="8" w:color="auto"/>
            </w:tcBorders>
            <w:shd w:val="clear" w:color="auto" w:fill="CCEEFF"/>
          </w:tcPr>
          <w:p>
            <w:pPr>
              <w:spacing w:after="0"/>
              <w:rPr>
                <w:sz w:val="18"/>
                <w:szCs w:val="18"/>
                <w:color w:val="auto"/>
              </w:rPr>
            </w:pPr>
          </w:p>
        </w:tc>
      </w:tr>
    </w:tbl>
    <w:p>
      <w:pPr>
        <w:spacing w:after="0" w:line="134" w:lineRule="exact"/>
        <w:rPr>
          <w:sz w:val="20"/>
          <w:szCs w:val="20"/>
          <w:color w:val="auto"/>
        </w:rPr>
      </w:pPr>
    </w:p>
    <w:p>
      <w:pPr>
        <w:ind w:left="20"/>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Segment EBITDA is calculated as segment income before depreciation and amortization.</w:t>
      </w:r>
    </w:p>
    <w:p>
      <w:pPr>
        <w:spacing w:after="0" w:line="28" w:lineRule="exact"/>
        <w:rPr>
          <w:sz w:val="20"/>
          <w:szCs w:val="20"/>
          <w:color w:val="auto"/>
        </w:rPr>
      </w:pPr>
    </w:p>
    <w:p>
      <w:pPr>
        <w:ind w:left="20" w:right="160"/>
        <w:spacing w:after="0" w:line="206" w:lineRule="auto"/>
        <w:rPr>
          <w:sz w:val="20"/>
          <w:szCs w:val="20"/>
          <w:color w:val="auto"/>
        </w:rPr>
      </w:pPr>
      <w:r>
        <w:rPr>
          <w:rFonts w:ascii="Arial" w:cs="Arial" w:eastAsia="Arial" w:hAnsi="Arial"/>
          <w:sz w:val="21"/>
          <w:szCs w:val="21"/>
          <w:color w:val="auto"/>
          <w:vertAlign w:val="superscript"/>
        </w:rPr>
        <w:t>2</w:t>
      </w:r>
      <w:r>
        <w:rPr>
          <w:rFonts w:ascii="Arial" w:cs="Arial" w:eastAsia="Arial" w:hAnsi="Arial"/>
          <w:sz w:val="16"/>
          <w:szCs w:val="16"/>
          <w:color w:val="auto"/>
        </w:rPr>
        <w:t>Capital spending in 2025 and 2024 for our Wood Products segment includes spending on significant modernization projects at our Oakdale, Louisiana veneer and plywood mill, spending to add I-joist production capabilities at our Thorsby, Alabama EWP mill, as well as spending to convert a plywood layup line to a parallel laminated veneer line at our Chapman, Alabama veneer and plywood mill.</w:t>
      </w:r>
    </w:p>
    <w:p>
      <w:pPr>
        <w:spacing w:after="0" w:line="44" w:lineRule="exact"/>
        <w:rPr>
          <w:sz w:val="20"/>
          <w:szCs w:val="20"/>
          <w:color w:val="auto"/>
        </w:rPr>
      </w:pPr>
    </w:p>
    <w:p>
      <w:pPr>
        <w:ind w:left="20" w:right="640"/>
        <w:spacing w:after="0" w:line="212" w:lineRule="auto"/>
        <w:rPr>
          <w:sz w:val="20"/>
          <w:szCs w:val="20"/>
          <w:color w:val="auto"/>
        </w:rPr>
      </w:pPr>
      <w:r>
        <w:rPr>
          <w:rFonts w:ascii="Arial" w:cs="Arial" w:eastAsia="Arial" w:hAnsi="Arial"/>
          <w:sz w:val="21"/>
          <w:szCs w:val="21"/>
          <w:color w:val="auto"/>
          <w:vertAlign w:val="superscript"/>
        </w:rPr>
        <w:t>3</w:t>
      </w:r>
      <w:r>
        <w:rPr>
          <w:rFonts w:ascii="Arial" w:cs="Arial" w:eastAsia="Arial" w:hAnsi="Arial"/>
          <w:sz w:val="16"/>
          <w:szCs w:val="16"/>
          <w:color w:val="auto"/>
        </w:rPr>
        <w:t>Segment depreciation and amortization in first quarter 2024 includes accelerated depreciation of $2.2 million for the indefinite curtailment of lumber production assets at our Chapman, Alabama, facility.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40" w:top="989" w:right="339" w:bottom="1440" w:gutter="0" w:footer="0" w:header="0"/>
        </w:sectPr>
      </w:pPr>
    </w:p>
    <w:bookmarkStart w:id="22" w:name="page23"/>
    <w:bookmarkEnd w:id="22"/>
    <w:p>
      <w:pPr>
        <w:jc w:val="center"/>
        <w:ind w:right="20"/>
        <w:spacing w:after="0"/>
        <w:rPr>
          <w:sz w:val="20"/>
          <w:szCs w:val="20"/>
          <w:color w:val="auto"/>
        </w:rPr>
      </w:pPr>
      <w:r>
        <w:rPr>
          <w:rFonts w:ascii="Arial" w:cs="Arial" w:eastAsia="Arial" w:hAnsi="Arial"/>
          <w:sz w:val="20"/>
          <w:szCs w:val="20"/>
          <w:b w:val="1"/>
          <w:bCs w:val="1"/>
          <w:color w:val="auto"/>
        </w:rPr>
        <w:t>Boise Cascade Company</w:t>
      </w:r>
    </w:p>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Quarterly Statistical Information (continued)</w:t>
      </w:r>
    </w:p>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Reconciliation of Non-GAAP Financial Measures</w:t>
      </w:r>
    </w:p>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(in thousands)</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Total Boise Cascade Company</w:t>
      </w:r>
    </w:p>
    <w:p>
      <w:pPr>
        <w:spacing w:after="0" w:line="306" w:lineRule="exact"/>
        <w:rPr>
          <w:sz w:val="20"/>
          <w:szCs w:val="20"/>
          <w:color w:val="auto"/>
        </w:rPr>
      </w:pPr>
    </w:p>
    <w:p>
      <w:pPr>
        <w:jc w:val="both"/>
        <w:ind w:left="20" w:right="560"/>
        <w:spacing w:after="0" w:line="234" w:lineRule="auto"/>
        <w:rPr>
          <w:sz w:val="20"/>
          <w:szCs w:val="20"/>
          <w:color w:val="auto"/>
        </w:rPr>
      </w:pPr>
      <w:r>
        <w:rPr>
          <w:rFonts w:ascii="Arial" w:cs="Arial" w:eastAsia="Arial" w:hAnsi="Arial"/>
          <w:sz w:val="16"/>
          <w:szCs w:val="16"/>
          <w:color w:val="auto"/>
        </w:rPr>
        <w:t>EBITDA represents income before interest (interest expense and interest income), income taxes, and depreciation and amortization. Additionally, we disclose Adjusted EBITDA, which further adjusts EBITDA to exclude the change in fair value of interest rate swaps. The following tables reconcile net income to EBITDA and Adjusted EBITDA for the periods noted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2026</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09"/>
        </w:trPr>
        <w:tc>
          <w:tcPr>
            <w:tcW w:w="4680" w:type="dxa"/>
            <w:vAlign w:val="bottom"/>
            <w:tcBorders>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ind w:right="479"/>
              <w:spacing w:after="0"/>
              <w:rPr>
                <w:sz w:val="20"/>
                <w:szCs w:val="20"/>
                <w:color w:val="auto"/>
              </w:rPr>
            </w:pPr>
            <w:r>
              <w:rPr>
                <w:rFonts w:ascii="Arial" w:cs="Arial" w:eastAsia="Arial" w:hAnsi="Arial"/>
                <w:sz w:val="16"/>
                <w:szCs w:val="16"/>
                <w:color w:val="auto"/>
              </w:rPr>
              <w:t>Q1</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ind w:right="479"/>
              <w:spacing w:after="0"/>
              <w:rPr>
                <w:sz w:val="20"/>
                <w:szCs w:val="20"/>
                <w:color w:val="auto"/>
              </w:rPr>
            </w:pPr>
            <w:r>
              <w:rPr>
                <w:rFonts w:ascii="Arial" w:cs="Arial" w:eastAsia="Arial" w:hAnsi="Arial"/>
                <w:sz w:val="16"/>
                <w:szCs w:val="16"/>
                <w:color w:val="auto"/>
              </w:rPr>
              <w:t>Q2</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center"/>
              <w:ind w:right="239"/>
              <w:spacing w:after="0"/>
              <w:rPr>
                <w:sz w:val="20"/>
                <w:szCs w:val="20"/>
                <w:color w:val="auto"/>
              </w:rPr>
            </w:pPr>
            <w:r>
              <w:rPr>
                <w:rFonts w:ascii="Arial" w:cs="Arial" w:eastAsia="Arial" w:hAnsi="Arial"/>
                <w:sz w:val="16"/>
                <w:szCs w:val="16"/>
                <w:color w:val="auto"/>
                <w:w w:val="93"/>
              </w:rPr>
              <w:t>Q3</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ind w:right="479"/>
              <w:spacing w:after="0"/>
              <w:rPr>
                <w:sz w:val="20"/>
                <w:szCs w:val="20"/>
                <w:color w:val="auto"/>
              </w:rPr>
            </w:pPr>
            <w:r>
              <w:rPr>
                <w:rFonts w:ascii="Arial" w:cs="Arial" w:eastAsia="Arial" w:hAnsi="Arial"/>
                <w:sz w:val="16"/>
                <w:szCs w:val="16"/>
                <w:color w:val="auto"/>
              </w:rPr>
              <w:t>Q4</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439"/>
              <w:spacing w:after="0"/>
              <w:rPr>
                <w:sz w:val="20"/>
                <w:szCs w:val="20"/>
                <w:color w:val="auto"/>
              </w:rPr>
            </w:pPr>
            <w:r>
              <w:rPr>
                <w:rFonts w:ascii="Arial" w:cs="Arial" w:eastAsia="Arial" w:hAnsi="Arial"/>
                <w:sz w:val="16"/>
                <w:szCs w:val="16"/>
                <w:color w:val="auto"/>
              </w:rPr>
              <w:t>YTD</w:t>
            </w:r>
          </w:p>
        </w:tc>
      </w:tr>
      <w:tr>
        <w:trPr>
          <w:trHeight w:val="143"/>
        </w:trPr>
        <w:tc>
          <w:tcPr>
            <w:tcW w:w="468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r>
      <w:tr>
        <w:trPr>
          <w:trHeight w:val="216"/>
        </w:trPr>
        <w:tc>
          <w:tcPr>
            <w:tcW w:w="46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17,842</w:t>
            </w:r>
          </w:p>
        </w:tc>
        <w:tc>
          <w:tcPr>
            <w:tcW w:w="320" w:type="dxa"/>
            <w:vAlign w:val="bottom"/>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17,842</w:t>
            </w:r>
          </w:p>
        </w:tc>
      </w:tr>
      <w:tr>
        <w:trPr>
          <w:trHeight w:val="215"/>
        </w:trPr>
        <w:tc>
          <w:tcPr>
            <w:tcW w:w="4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18"/>
                <w:szCs w:val="18"/>
                <w:color w:val="auto"/>
              </w:rPr>
            </w:pPr>
          </w:p>
        </w:tc>
        <w:tc>
          <w:tcPr>
            <w:tcW w:w="10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6,019</w:t>
            </w:r>
          </w:p>
        </w:tc>
        <w:tc>
          <w:tcPr>
            <w:tcW w:w="3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6,019</w:t>
            </w:r>
          </w:p>
        </w:tc>
      </w:tr>
      <w:tr>
        <w:trPr>
          <w:trHeight w:val="217"/>
        </w:trPr>
        <w:tc>
          <w:tcPr>
            <w:tcW w:w="46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300" w:type="dxa"/>
            <w:vAlign w:val="bottom"/>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(2,937)</w:t>
            </w:r>
          </w:p>
        </w:tc>
        <w:tc>
          <w:tcPr>
            <w:tcW w:w="320" w:type="dxa"/>
            <w:vAlign w:val="bottom"/>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(2,937)</w:t>
            </w:r>
          </w:p>
        </w:tc>
      </w:tr>
      <w:tr>
        <w:trPr>
          <w:trHeight w:val="215"/>
        </w:trPr>
        <w:tc>
          <w:tcPr>
            <w:tcW w:w="4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Income tax provision</w:t>
            </w:r>
          </w:p>
        </w:tc>
        <w:tc>
          <w:tcPr>
            <w:tcW w:w="300" w:type="dxa"/>
            <w:vAlign w:val="bottom"/>
          </w:tcPr>
          <w:p>
            <w:pPr>
              <w:spacing w:after="0"/>
              <w:rPr>
                <w:sz w:val="18"/>
                <w:szCs w:val="18"/>
                <w:color w:val="auto"/>
              </w:rPr>
            </w:pPr>
          </w:p>
        </w:tc>
        <w:tc>
          <w:tcPr>
            <w:tcW w:w="10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6,590</w:t>
            </w:r>
          </w:p>
        </w:tc>
        <w:tc>
          <w:tcPr>
            <w:tcW w:w="3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6,590</w:t>
            </w:r>
          </w:p>
        </w:tc>
      </w:tr>
      <w:tr>
        <w:trPr>
          <w:trHeight w:val="217"/>
        </w:trPr>
        <w:tc>
          <w:tcPr>
            <w:tcW w:w="46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39,053</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39,053</w:t>
            </w:r>
          </w:p>
        </w:tc>
      </w:tr>
      <w:tr>
        <w:trPr>
          <w:trHeight w:val="209"/>
        </w:trPr>
        <w:tc>
          <w:tcPr>
            <w:tcW w:w="4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EBITDA</w:t>
            </w:r>
          </w:p>
        </w:tc>
        <w:tc>
          <w:tcPr>
            <w:tcW w:w="300" w:type="dxa"/>
            <w:vAlign w:val="bottom"/>
          </w:tcPr>
          <w:p>
            <w:pPr>
              <w:spacing w:after="0"/>
              <w:rPr>
                <w:sz w:val="18"/>
                <w:szCs w:val="18"/>
                <w:color w:val="auto"/>
              </w:rPr>
            </w:pPr>
          </w:p>
        </w:tc>
        <w:tc>
          <w:tcPr>
            <w:tcW w:w="10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66,567</w:t>
            </w:r>
          </w:p>
        </w:tc>
        <w:tc>
          <w:tcPr>
            <w:tcW w:w="3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66,567</w:t>
            </w:r>
          </w:p>
        </w:tc>
      </w:tr>
      <w:tr>
        <w:trPr>
          <w:trHeight w:val="215"/>
        </w:trPr>
        <w:tc>
          <w:tcPr>
            <w:tcW w:w="46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Change in fair value of interest rate swaps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0"/>
        </w:trPr>
        <w:tc>
          <w:tcPr>
            <w:tcW w:w="4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Adjusted EBITDA</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66,567</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66,567</w:t>
            </w:r>
          </w:p>
        </w:tc>
      </w:tr>
      <w:tr>
        <w:trPr>
          <w:trHeight w:val="20"/>
        </w:trPr>
        <w:tc>
          <w:tcPr>
            <w:tcW w:w="4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39"/>
        </w:trPr>
        <w:tc>
          <w:tcPr>
            <w:tcW w:w="46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2025</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09"/>
        </w:trPr>
        <w:tc>
          <w:tcPr>
            <w:tcW w:w="4680" w:type="dxa"/>
            <w:vAlign w:val="bottom"/>
            <w:tcBorders>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ind w:right="479"/>
              <w:spacing w:after="0"/>
              <w:rPr>
                <w:sz w:val="20"/>
                <w:szCs w:val="20"/>
                <w:color w:val="auto"/>
              </w:rPr>
            </w:pPr>
            <w:r>
              <w:rPr>
                <w:rFonts w:ascii="Arial" w:cs="Arial" w:eastAsia="Arial" w:hAnsi="Arial"/>
                <w:sz w:val="16"/>
                <w:szCs w:val="16"/>
                <w:color w:val="auto"/>
              </w:rPr>
              <w:t>Q1</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ind w:right="479"/>
              <w:spacing w:after="0"/>
              <w:rPr>
                <w:sz w:val="20"/>
                <w:szCs w:val="20"/>
                <w:color w:val="auto"/>
              </w:rPr>
            </w:pPr>
            <w:r>
              <w:rPr>
                <w:rFonts w:ascii="Arial" w:cs="Arial" w:eastAsia="Arial" w:hAnsi="Arial"/>
                <w:sz w:val="16"/>
                <w:szCs w:val="16"/>
                <w:color w:val="auto"/>
              </w:rPr>
              <w:t>Q2</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center"/>
              <w:ind w:right="239"/>
              <w:spacing w:after="0"/>
              <w:rPr>
                <w:sz w:val="20"/>
                <w:szCs w:val="20"/>
                <w:color w:val="auto"/>
              </w:rPr>
            </w:pPr>
            <w:r>
              <w:rPr>
                <w:rFonts w:ascii="Arial" w:cs="Arial" w:eastAsia="Arial" w:hAnsi="Arial"/>
                <w:sz w:val="16"/>
                <w:szCs w:val="16"/>
                <w:color w:val="auto"/>
                <w:w w:val="93"/>
              </w:rPr>
              <w:t>Q3</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ind w:right="479"/>
              <w:spacing w:after="0"/>
              <w:rPr>
                <w:sz w:val="20"/>
                <w:szCs w:val="20"/>
                <w:color w:val="auto"/>
              </w:rPr>
            </w:pPr>
            <w:r>
              <w:rPr>
                <w:rFonts w:ascii="Arial" w:cs="Arial" w:eastAsia="Arial" w:hAnsi="Arial"/>
                <w:sz w:val="16"/>
                <w:szCs w:val="16"/>
                <w:color w:val="auto"/>
              </w:rPr>
              <w:t>Q4</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439"/>
              <w:spacing w:after="0"/>
              <w:rPr>
                <w:sz w:val="20"/>
                <w:szCs w:val="20"/>
                <w:color w:val="auto"/>
              </w:rPr>
            </w:pPr>
            <w:r>
              <w:rPr>
                <w:rFonts w:ascii="Arial" w:cs="Arial" w:eastAsia="Arial" w:hAnsi="Arial"/>
                <w:sz w:val="16"/>
                <w:szCs w:val="16"/>
                <w:color w:val="auto"/>
              </w:rPr>
              <w:t>YTD</w:t>
            </w:r>
          </w:p>
        </w:tc>
      </w:tr>
      <w:tr>
        <w:trPr>
          <w:trHeight w:val="143"/>
        </w:trPr>
        <w:tc>
          <w:tcPr>
            <w:tcW w:w="468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r>
      <w:tr>
        <w:trPr>
          <w:trHeight w:val="216"/>
        </w:trPr>
        <w:tc>
          <w:tcPr>
            <w:tcW w:w="46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40,348</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61,985</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21,769</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8,734</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132,836</w:t>
            </w:r>
          </w:p>
        </w:tc>
      </w:tr>
      <w:tr>
        <w:trPr>
          <w:trHeight w:val="215"/>
        </w:trPr>
        <w:tc>
          <w:tcPr>
            <w:tcW w:w="4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18"/>
                <w:szCs w:val="18"/>
                <w:color w:val="auto"/>
              </w:rPr>
            </w:pPr>
          </w:p>
        </w:tc>
        <w:tc>
          <w:tcPr>
            <w:tcW w:w="10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5,312</w:t>
            </w:r>
          </w:p>
        </w:tc>
        <w:tc>
          <w:tcPr>
            <w:tcW w:w="320" w:type="dxa"/>
            <w:vAlign w:val="bottom"/>
          </w:tcPr>
          <w:p>
            <w:pPr>
              <w:spacing w:after="0"/>
              <w:rPr>
                <w:sz w:val="18"/>
                <w:szCs w:val="18"/>
                <w:color w:val="auto"/>
              </w:rPr>
            </w:pPr>
          </w:p>
        </w:tc>
        <w:tc>
          <w:tcPr>
            <w:tcW w:w="10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5,183</w:t>
            </w:r>
          </w:p>
        </w:tc>
        <w:tc>
          <w:tcPr>
            <w:tcW w:w="280" w:type="dxa"/>
            <w:vAlign w:val="bottom"/>
          </w:tcPr>
          <w:p>
            <w:pPr>
              <w:spacing w:after="0"/>
              <w:rPr>
                <w:sz w:val="18"/>
                <w:szCs w:val="18"/>
                <w:color w:val="auto"/>
              </w:rPr>
            </w:pPr>
          </w:p>
        </w:tc>
        <w:tc>
          <w:tcPr>
            <w:tcW w:w="10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5,327</w:t>
            </w:r>
          </w:p>
        </w:tc>
        <w:tc>
          <w:tcPr>
            <w:tcW w:w="320" w:type="dxa"/>
            <w:vAlign w:val="bottom"/>
          </w:tcPr>
          <w:p>
            <w:pPr>
              <w:spacing w:after="0"/>
              <w:rPr>
                <w:sz w:val="18"/>
                <w:szCs w:val="18"/>
                <w:color w:val="auto"/>
              </w:rPr>
            </w:pPr>
          </w:p>
        </w:tc>
        <w:tc>
          <w:tcPr>
            <w:tcW w:w="10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6,024</w:t>
            </w:r>
          </w:p>
        </w:tc>
        <w:tc>
          <w:tcPr>
            <w:tcW w:w="300" w:type="dxa"/>
            <w:vAlign w:val="bottom"/>
          </w:tcPr>
          <w:p>
            <w:pPr>
              <w:spacing w:after="0"/>
              <w:rPr>
                <w:sz w:val="18"/>
                <w:szCs w:val="18"/>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21,846</w:t>
            </w:r>
          </w:p>
        </w:tc>
      </w:tr>
      <w:tr>
        <w:trPr>
          <w:trHeight w:val="217"/>
        </w:trPr>
        <w:tc>
          <w:tcPr>
            <w:tcW w:w="46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300" w:type="dxa"/>
            <w:vAlign w:val="bottom"/>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(5,510)</w:t>
            </w:r>
          </w:p>
        </w:tc>
        <w:tc>
          <w:tcPr>
            <w:tcW w:w="320" w:type="dxa"/>
            <w:vAlign w:val="bottom"/>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(4,623)</w:t>
            </w:r>
          </w:p>
        </w:tc>
        <w:tc>
          <w:tcPr>
            <w:tcW w:w="28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(4,181)</w:t>
            </w:r>
          </w:p>
        </w:tc>
        <w:tc>
          <w:tcPr>
            <w:tcW w:w="320" w:type="dxa"/>
            <w:vAlign w:val="bottom"/>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(4,452)</w:t>
            </w:r>
          </w:p>
        </w:tc>
        <w:tc>
          <w:tcPr>
            <w:tcW w:w="30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(18,766)</w:t>
            </w:r>
          </w:p>
        </w:tc>
      </w:tr>
      <w:tr>
        <w:trPr>
          <w:trHeight w:val="215"/>
        </w:trPr>
        <w:tc>
          <w:tcPr>
            <w:tcW w:w="4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Income tax provision</w:t>
            </w:r>
          </w:p>
        </w:tc>
        <w:tc>
          <w:tcPr>
            <w:tcW w:w="300" w:type="dxa"/>
            <w:vAlign w:val="bottom"/>
          </w:tcPr>
          <w:p>
            <w:pPr>
              <w:spacing w:after="0"/>
              <w:rPr>
                <w:sz w:val="18"/>
                <w:szCs w:val="18"/>
                <w:color w:val="auto"/>
              </w:rPr>
            </w:pPr>
          </w:p>
        </w:tc>
        <w:tc>
          <w:tcPr>
            <w:tcW w:w="10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13,846</w:t>
            </w:r>
          </w:p>
        </w:tc>
        <w:tc>
          <w:tcPr>
            <w:tcW w:w="320" w:type="dxa"/>
            <w:vAlign w:val="bottom"/>
          </w:tcPr>
          <w:p>
            <w:pPr>
              <w:spacing w:after="0"/>
              <w:rPr>
                <w:sz w:val="18"/>
                <w:szCs w:val="18"/>
                <w:color w:val="auto"/>
              </w:rPr>
            </w:pPr>
          </w:p>
        </w:tc>
        <w:tc>
          <w:tcPr>
            <w:tcW w:w="10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18,611</w:t>
            </w:r>
          </w:p>
        </w:tc>
        <w:tc>
          <w:tcPr>
            <w:tcW w:w="280" w:type="dxa"/>
            <w:vAlign w:val="bottom"/>
          </w:tcPr>
          <w:p>
            <w:pPr>
              <w:spacing w:after="0"/>
              <w:rPr>
                <w:sz w:val="18"/>
                <w:szCs w:val="18"/>
                <w:color w:val="auto"/>
              </w:rPr>
            </w:pPr>
          </w:p>
        </w:tc>
        <w:tc>
          <w:tcPr>
            <w:tcW w:w="10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9,088</w:t>
            </w:r>
          </w:p>
        </w:tc>
        <w:tc>
          <w:tcPr>
            <w:tcW w:w="320" w:type="dxa"/>
            <w:vAlign w:val="bottom"/>
          </w:tcPr>
          <w:p>
            <w:pPr>
              <w:spacing w:after="0"/>
              <w:rPr>
                <w:sz w:val="18"/>
                <w:szCs w:val="18"/>
                <w:color w:val="auto"/>
              </w:rPr>
            </w:pPr>
          </w:p>
        </w:tc>
        <w:tc>
          <w:tcPr>
            <w:tcW w:w="10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5,572</w:t>
            </w:r>
          </w:p>
        </w:tc>
        <w:tc>
          <w:tcPr>
            <w:tcW w:w="300" w:type="dxa"/>
            <w:vAlign w:val="bottom"/>
          </w:tcPr>
          <w:p>
            <w:pPr>
              <w:spacing w:after="0"/>
              <w:rPr>
                <w:sz w:val="18"/>
                <w:szCs w:val="18"/>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47,117</w:t>
            </w:r>
          </w:p>
        </w:tc>
      </w:tr>
      <w:tr>
        <w:trPr>
          <w:trHeight w:val="217"/>
        </w:trPr>
        <w:tc>
          <w:tcPr>
            <w:tcW w:w="46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37,121</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37,409</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42,378</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41,313</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158,221</w:t>
            </w:r>
          </w:p>
        </w:tc>
      </w:tr>
      <w:tr>
        <w:trPr>
          <w:trHeight w:val="210"/>
        </w:trPr>
        <w:tc>
          <w:tcPr>
            <w:tcW w:w="4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EBITDA</w:t>
            </w:r>
          </w:p>
        </w:tc>
        <w:tc>
          <w:tcPr>
            <w:tcW w:w="300" w:type="dxa"/>
            <w:vAlign w:val="bottom"/>
          </w:tcPr>
          <w:p>
            <w:pPr>
              <w:spacing w:after="0"/>
              <w:rPr>
                <w:sz w:val="18"/>
                <w:szCs w:val="18"/>
                <w:color w:val="auto"/>
              </w:rPr>
            </w:pPr>
          </w:p>
        </w:tc>
        <w:tc>
          <w:tcPr>
            <w:tcW w:w="10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91,117</w:t>
            </w:r>
          </w:p>
        </w:tc>
        <w:tc>
          <w:tcPr>
            <w:tcW w:w="320" w:type="dxa"/>
            <w:vAlign w:val="bottom"/>
          </w:tcPr>
          <w:p>
            <w:pPr>
              <w:spacing w:after="0"/>
              <w:rPr>
                <w:sz w:val="18"/>
                <w:szCs w:val="18"/>
                <w:color w:val="auto"/>
              </w:rPr>
            </w:pPr>
          </w:p>
        </w:tc>
        <w:tc>
          <w:tcPr>
            <w:tcW w:w="10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118,565</w:t>
            </w:r>
          </w:p>
        </w:tc>
        <w:tc>
          <w:tcPr>
            <w:tcW w:w="280" w:type="dxa"/>
            <w:vAlign w:val="bottom"/>
          </w:tcPr>
          <w:p>
            <w:pPr>
              <w:spacing w:after="0"/>
              <w:rPr>
                <w:sz w:val="18"/>
                <w:szCs w:val="18"/>
                <w:color w:val="auto"/>
              </w:rPr>
            </w:pPr>
          </w:p>
        </w:tc>
        <w:tc>
          <w:tcPr>
            <w:tcW w:w="10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74,381</w:t>
            </w:r>
          </w:p>
        </w:tc>
        <w:tc>
          <w:tcPr>
            <w:tcW w:w="320" w:type="dxa"/>
            <w:vAlign w:val="bottom"/>
          </w:tcPr>
          <w:p>
            <w:pPr>
              <w:spacing w:after="0"/>
              <w:rPr>
                <w:sz w:val="18"/>
                <w:szCs w:val="18"/>
                <w:color w:val="auto"/>
              </w:rPr>
            </w:pPr>
          </w:p>
        </w:tc>
        <w:tc>
          <w:tcPr>
            <w:tcW w:w="10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57,191</w:t>
            </w:r>
          </w:p>
        </w:tc>
        <w:tc>
          <w:tcPr>
            <w:tcW w:w="300" w:type="dxa"/>
            <w:vAlign w:val="bottom"/>
          </w:tcPr>
          <w:p>
            <w:pPr>
              <w:spacing w:after="0"/>
              <w:rPr>
                <w:sz w:val="18"/>
                <w:szCs w:val="18"/>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341,254</w:t>
            </w:r>
          </w:p>
        </w:tc>
      </w:tr>
      <w:tr>
        <w:trPr>
          <w:trHeight w:val="215"/>
        </w:trPr>
        <w:tc>
          <w:tcPr>
            <w:tcW w:w="46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Change in fair value of interest rate swaps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490</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435</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925</w:t>
            </w:r>
          </w:p>
        </w:tc>
      </w:tr>
      <w:tr>
        <w:trPr>
          <w:trHeight w:val="210"/>
        </w:trPr>
        <w:tc>
          <w:tcPr>
            <w:tcW w:w="4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Adjusted EBITDA</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91,607</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119,000</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74,381</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57,191</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342,179</w:t>
            </w:r>
          </w:p>
        </w:tc>
      </w:tr>
      <w:tr>
        <w:trPr>
          <w:trHeight w:val="20"/>
        </w:trPr>
        <w:tc>
          <w:tcPr>
            <w:tcW w:w="4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44"/>
        </w:trPr>
        <w:tc>
          <w:tcPr>
            <w:tcW w:w="46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2024</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09"/>
        </w:trPr>
        <w:tc>
          <w:tcPr>
            <w:tcW w:w="4680" w:type="dxa"/>
            <w:vAlign w:val="bottom"/>
            <w:tcBorders>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ind w:right="479"/>
              <w:spacing w:after="0"/>
              <w:rPr>
                <w:sz w:val="20"/>
                <w:szCs w:val="20"/>
                <w:color w:val="auto"/>
              </w:rPr>
            </w:pPr>
            <w:r>
              <w:rPr>
                <w:rFonts w:ascii="Arial" w:cs="Arial" w:eastAsia="Arial" w:hAnsi="Arial"/>
                <w:sz w:val="16"/>
                <w:szCs w:val="16"/>
                <w:color w:val="auto"/>
              </w:rPr>
              <w:t>Q1</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ind w:right="479"/>
              <w:spacing w:after="0"/>
              <w:rPr>
                <w:sz w:val="20"/>
                <w:szCs w:val="20"/>
                <w:color w:val="auto"/>
              </w:rPr>
            </w:pPr>
            <w:r>
              <w:rPr>
                <w:rFonts w:ascii="Arial" w:cs="Arial" w:eastAsia="Arial" w:hAnsi="Arial"/>
                <w:sz w:val="16"/>
                <w:szCs w:val="16"/>
                <w:color w:val="auto"/>
              </w:rPr>
              <w:t>Q2</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center"/>
              <w:ind w:right="239"/>
              <w:spacing w:after="0"/>
              <w:rPr>
                <w:sz w:val="20"/>
                <w:szCs w:val="20"/>
                <w:color w:val="auto"/>
              </w:rPr>
            </w:pPr>
            <w:r>
              <w:rPr>
                <w:rFonts w:ascii="Arial" w:cs="Arial" w:eastAsia="Arial" w:hAnsi="Arial"/>
                <w:sz w:val="16"/>
                <w:szCs w:val="16"/>
                <w:color w:val="auto"/>
                <w:w w:val="93"/>
              </w:rPr>
              <w:t>Q3</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ind w:right="479"/>
              <w:spacing w:after="0"/>
              <w:rPr>
                <w:sz w:val="20"/>
                <w:szCs w:val="20"/>
                <w:color w:val="auto"/>
              </w:rPr>
            </w:pPr>
            <w:r>
              <w:rPr>
                <w:rFonts w:ascii="Arial" w:cs="Arial" w:eastAsia="Arial" w:hAnsi="Arial"/>
                <w:sz w:val="16"/>
                <w:szCs w:val="16"/>
                <w:color w:val="auto"/>
              </w:rPr>
              <w:t>Q4</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439"/>
              <w:spacing w:after="0"/>
              <w:rPr>
                <w:sz w:val="20"/>
                <w:szCs w:val="20"/>
                <w:color w:val="auto"/>
              </w:rPr>
            </w:pPr>
            <w:r>
              <w:rPr>
                <w:rFonts w:ascii="Arial" w:cs="Arial" w:eastAsia="Arial" w:hAnsi="Arial"/>
                <w:sz w:val="16"/>
                <w:szCs w:val="16"/>
                <w:color w:val="auto"/>
              </w:rPr>
              <w:t>YTD</w:t>
            </w:r>
          </w:p>
        </w:tc>
      </w:tr>
      <w:tr>
        <w:trPr>
          <w:trHeight w:val="143"/>
        </w:trPr>
        <w:tc>
          <w:tcPr>
            <w:tcW w:w="468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r>
      <w:tr>
        <w:trPr>
          <w:trHeight w:val="216"/>
        </w:trPr>
        <w:tc>
          <w:tcPr>
            <w:tcW w:w="46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104,124</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112,292</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91,038</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68,900</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376,354</w:t>
            </w:r>
          </w:p>
        </w:tc>
      </w:tr>
      <w:tr>
        <w:trPr>
          <w:trHeight w:val="215"/>
        </w:trPr>
        <w:tc>
          <w:tcPr>
            <w:tcW w:w="4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18"/>
                <w:szCs w:val="18"/>
                <w:color w:val="auto"/>
              </w:rPr>
            </w:pPr>
          </w:p>
        </w:tc>
        <w:tc>
          <w:tcPr>
            <w:tcW w:w="10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6,070</w:t>
            </w:r>
          </w:p>
        </w:tc>
        <w:tc>
          <w:tcPr>
            <w:tcW w:w="320" w:type="dxa"/>
            <w:vAlign w:val="bottom"/>
          </w:tcPr>
          <w:p>
            <w:pPr>
              <w:spacing w:after="0"/>
              <w:rPr>
                <w:sz w:val="18"/>
                <w:szCs w:val="18"/>
                <w:color w:val="auto"/>
              </w:rPr>
            </w:pPr>
          </w:p>
        </w:tc>
        <w:tc>
          <w:tcPr>
            <w:tcW w:w="10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6,105</w:t>
            </w:r>
          </w:p>
        </w:tc>
        <w:tc>
          <w:tcPr>
            <w:tcW w:w="280" w:type="dxa"/>
            <w:vAlign w:val="bottom"/>
          </w:tcPr>
          <w:p>
            <w:pPr>
              <w:spacing w:after="0"/>
              <w:rPr>
                <w:sz w:val="18"/>
                <w:szCs w:val="18"/>
                <w:color w:val="auto"/>
              </w:rPr>
            </w:pPr>
          </w:p>
        </w:tc>
        <w:tc>
          <w:tcPr>
            <w:tcW w:w="10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6,082</w:t>
            </w:r>
          </w:p>
        </w:tc>
        <w:tc>
          <w:tcPr>
            <w:tcW w:w="320" w:type="dxa"/>
            <w:vAlign w:val="bottom"/>
          </w:tcPr>
          <w:p>
            <w:pPr>
              <w:spacing w:after="0"/>
              <w:rPr>
                <w:sz w:val="18"/>
                <w:szCs w:val="18"/>
                <w:color w:val="auto"/>
              </w:rPr>
            </w:pPr>
          </w:p>
        </w:tc>
        <w:tc>
          <w:tcPr>
            <w:tcW w:w="10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5,810</w:t>
            </w:r>
          </w:p>
        </w:tc>
        <w:tc>
          <w:tcPr>
            <w:tcW w:w="300" w:type="dxa"/>
            <w:vAlign w:val="bottom"/>
          </w:tcPr>
          <w:p>
            <w:pPr>
              <w:spacing w:after="0"/>
              <w:rPr>
                <w:sz w:val="18"/>
                <w:szCs w:val="18"/>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24,067</w:t>
            </w:r>
          </w:p>
        </w:tc>
      </w:tr>
      <w:tr>
        <w:trPr>
          <w:trHeight w:val="217"/>
        </w:trPr>
        <w:tc>
          <w:tcPr>
            <w:tcW w:w="46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300" w:type="dxa"/>
            <w:vAlign w:val="bottom"/>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(10,597)</w:t>
            </w:r>
          </w:p>
        </w:tc>
        <w:tc>
          <w:tcPr>
            <w:tcW w:w="320" w:type="dxa"/>
            <w:vAlign w:val="bottom"/>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(10,543)</w:t>
            </w:r>
          </w:p>
        </w:tc>
        <w:tc>
          <w:tcPr>
            <w:tcW w:w="28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(10,168)</w:t>
            </w:r>
          </w:p>
        </w:tc>
        <w:tc>
          <w:tcPr>
            <w:tcW w:w="320" w:type="dxa"/>
            <w:vAlign w:val="bottom"/>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(7,831)</w:t>
            </w:r>
          </w:p>
        </w:tc>
        <w:tc>
          <w:tcPr>
            <w:tcW w:w="30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(39,139)</w:t>
            </w:r>
          </w:p>
        </w:tc>
      </w:tr>
      <w:tr>
        <w:trPr>
          <w:trHeight w:val="215"/>
        </w:trPr>
        <w:tc>
          <w:tcPr>
            <w:tcW w:w="4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Income tax provision</w:t>
            </w:r>
          </w:p>
        </w:tc>
        <w:tc>
          <w:tcPr>
            <w:tcW w:w="300" w:type="dxa"/>
            <w:vAlign w:val="bottom"/>
          </w:tcPr>
          <w:p>
            <w:pPr>
              <w:spacing w:after="0"/>
              <w:rPr>
                <w:sz w:val="18"/>
                <w:szCs w:val="18"/>
                <w:color w:val="auto"/>
              </w:rPr>
            </w:pPr>
          </w:p>
        </w:tc>
        <w:tc>
          <w:tcPr>
            <w:tcW w:w="10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32,829</w:t>
            </w:r>
          </w:p>
        </w:tc>
        <w:tc>
          <w:tcPr>
            <w:tcW w:w="320" w:type="dxa"/>
            <w:vAlign w:val="bottom"/>
          </w:tcPr>
          <w:p>
            <w:pPr>
              <w:spacing w:after="0"/>
              <w:rPr>
                <w:sz w:val="18"/>
                <w:szCs w:val="18"/>
                <w:color w:val="auto"/>
              </w:rPr>
            </w:pPr>
          </w:p>
        </w:tc>
        <w:tc>
          <w:tcPr>
            <w:tcW w:w="10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38,499</w:t>
            </w:r>
          </w:p>
        </w:tc>
        <w:tc>
          <w:tcPr>
            <w:tcW w:w="280" w:type="dxa"/>
            <w:vAlign w:val="bottom"/>
          </w:tcPr>
          <w:p>
            <w:pPr>
              <w:spacing w:after="0"/>
              <w:rPr>
                <w:sz w:val="18"/>
                <w:szCs w:val="18"/>
                <w:color w:val="auto"/>
              </w:rPr>
            </w:pPr>
          </w:p>
        </w:tc>
        <w:tc>
          <w:tcPr>
            <w:tcW w:w="10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29,801</w:t>
            </w:r>
          </w:p>
        </w:tc>
        <w:tc>
          <w:tcPr>
            <w:tcW w:w="320" w:type="dxa"/>
            <w:vAlign w:val="bottom"/>
          </w:tcPr>
          <w:p>
            <w:pPr>
              <w:spacing w:after="0"/>
              <w:rPr>
                <w:sz w:val="18"/>
                <w:szCs w:val="18"/>
                <w:color w:val="auto"/>
              </w:rPr>
            </w:pPr>
          </w:p>
        </w:tc>
        <w:tc>
          <w:tcPr>
            <w:tcW w:w="10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24,276</w:t>
            </w:r>
          </w:p>
        </w:tc>
        <w:tc>
          <w:tcPr>
            <w:tcW w:w="300" w:type="dxa"/>
            <w:vAlign w:val="bottom"/>
          </w:tcPr>
          <w:p>
            <w:pPr>
              <w:spacing w:after="0"/>
              <w:rPr>
                <w:sz w:val="18"/>
                <w:szCs w:val="18"/>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125,405</w:t>
            </w:r>
          </w:p>
        </w:tc>
      </w:tr>
      <w:tr>
        <w:trPr>
          <w:trHeight w:val="217"/>
        </w:trPr>
        <w:tc>
          <w:tcPr>
            <w:tcW w:w="46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35,850</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34,367</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36,861</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37,035</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144,113</w:t>
            </w:r>
          </w:p>
        </w:tc>
      </w:tr>
      <w:tr>
        <w:trPr>
          <w:trHeight w:val="210"/>
        </w:trPr>
        <w:tc>
          <w:tcPr>
            <w:tcW w:w="4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EBITDA</w:t>
            </w:r>
          </w:p>
        </w:tc>
        <w:tc>
          <w:tcPr>
            <w:tcW w:w="300" w:type="dxa"/>
            <w:vAlign w:val="bottom"/>
          </w:tcPr>
          <w:p>
            <w:pPr>
              <w:spacing w:after="0"/>
              <w:rPr>
                <w:sz w:val="18"/>
                <w:szCs w:val="18"/>
                <w:color w:val="auto"/>
              </w:rPr>
            </w:pPr>
          </w:p>
        </w:tc>
        <w:tc>
          <w:tcPr>
            <w:tcW w:w="10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168,276</w:t>
            </w:r>
          </w:p>
        </w:tc>
        <w:tc>
          <w:tcPr>
            <w:tcW w:w="320" w:type="dxa"/>
            <w:vAlign w:val="bottom"/>
          </w:tcPr>
          <w:p>
            <w:pPr>
              <w:spacing w:after="0"/>
              <w:rPr>
                <w:sz w:val="18"/>
                <w:szCs w:val="18"/>
                <w:color w:val="auto"/>
              </w:rPr>
            </w:pPr>
          </w:p>
        </w:tc>
        <w:tc>
          <w:tcPr>
            <w:tcW w:w="10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180,720</w:t>
            </w:r>
          </w:p>
        </w:tc>
        <w:tc>
          <w:tcPr>
            <w:tcW w:w="280" w:type="dxa"/>
            <w:vAlign w:val="bottom"/>
          </w:tcPr>
          <w:p>
            <w:pPr>
              <w:spacing w:after="0"/>
              <w:rPr>
                <w:sz w:val="18"/>
                <w:szCs w:val="18"/>
                <w:color w:val="auto"/>
              </w:rPr>
            </w:pPr>
          </w:p>
        </w:tc>
        <w:tc>
          <w:tcPr>
            <w:tcW w:w="10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153,614</w:t>
            </w:r>
          </w:p>
        </w:tc>
        <w:tc>
          <w:tcPr>
            <w:tcW w:w="320" w:type="dxa"/>
            <w:vAlign w:val="bottom"/>
          </w:tcPr>
          <w:p>
            <w:pPr>
              <w:spacing w:after="0"/>
              <w:rPr>
                <w:sz w:val="18"/>
                <w:szCs w:val="18"/>
                <w:color w:val="auto"/>
              </w:rPr>
            </w:pPr>
          </w:p>
        </w:tc>
        <w:tc>
          <w:tcPr>
            <w:tcW w:w="10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128,190</w:t>
            </w:r>
          </w:p>
        </w:tc>
        <w:tc>
          <w:tcPr>
            <w:tcW w:w="300" w:type="dxa"/>
            <w:vAlign w:val="bottom"/>
          </w:tcPr>
          <w:p>
            <w:pPr>
              <w:spacing w:after="0"/>
              <w:rPr>
                <w:sz w:val="18"/>
                <w:szCs w:val="18"/>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630,800</w:t>
            </w:r>
          </w:p>
        </w:tc>
      </w:tr>
      <w:tr>
        <w:trPr>
          <w:trHeight w:val="215"/>
        </w:trPr>
        <w:tc>
          <w:tcPr>
            <w:tcW w:w="46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Change in fair value of interest rate swaps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220</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487</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866</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465</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2,038</w:t>
            </w:r>
          </w:p>
        </w:tc>
      </w:tr>
      <w:tr>
        <w:trPr>
          <w:trHeight w:val="210"/>
        </w:trPr>
        <w:tc>
          <w:tcPr>
            <w:tcW w:w="4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Adjusted EBITDA</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168,496</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181,207</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154,480</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128,655</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632,838</w:t>
            </w:r>
          </w:p>
        </w:tc>
      </w:tr>
      <w:tr>
        <w:trPr>
          <w:trHeight w:val="21"/>
        </w:trPr>
        <w:tc>
          <w:tcPr>
            <w:tcW w:w="4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For additional information regarding the non-GAAP measures presented in this document, please refer to our press release announcing our first quarter financial results, a copy of which is attached as Exhibit 99.1 to our Current Report on Form 8-K furnished to the Securities and Exchange Commission on May 4, 2026.</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sectPr>
      <w:pgSz w:w="11900" w:h="16838" w:orient="portrait"/>
      <w:cols w:equalWidth="0" w:num="1">
        <w:col w:w="11260"/>
      </w:cols>
      <w:pgMar w:left="320" w:top="9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2"/>
    </w:lvl>
  </w:abstractNum>
  <w:abstractNum w:abstractNumId="3">
    <w:nsid w:val="238E1F29"/>
    <w:multiLevelType w:val="hybridMultilevel"/>
    <w:lvl w:ilvl="0">
      <w:lvlJc w:val="left"/>
      <w:lvlText w:val="(%1)"/>
      <w:numFmt w:val="lowerLetter"/>
      <w:start w:val="4"/>
    </w:lvl>
  </w:abstractNum>
  <w:abstractNum w:abstractNumId="4">
    <w:nsid w:val="46E87CC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2026-05-04T15:26:10Z</dcterms:created>
  <dcterms:modified xsi:type="dcterms:W3CDTF">2026-05-04T15:26:10Z</dcterms:modified>
</cp:coreProperties>
</file>