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17" w:lineRule="exact"/>
        <w:rPr>
          <w:sz w:val="24"/>
          <w:szCs w:val="24"/>
          <w:color w:val="auto"/>
        </w:rPr>
      </w:pPr>
    </w:p>
    <w:p>
      <w:pPr>
        <w:ind w:left="340" w:hanging="294"/>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84" w:lineRule="exact"/>
        <w:rPr>
          <w:rFonts w:ascii="MS PGothic" w:cs="MS PGothic" w:eastAsia="MS PGothic" w:hAnsi="MS PGothic"/>
          <w:sz w:val="17"/>
          <w:szCs w:val="17"/>
          <w:color w:val="auto"/>
        </w:rPr>
      </w:pPr>
    </w:p>
    <w:p>
      <w:pPr>
        <w:ind w:left="33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1" w:lineRule="exact"/>
        <w:rPr>
          <w:sz w:val="24"/>
          <w:szCs w:val="24"/>
          <w:color w:val="auto"/>
        </w:rPr>
      </w:pPr>
    </w:p>
    <w:p>
      <w:pPr>
        <w:ind w:left="340" w:hanging="294"/>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84" w:lineRule="exact"/>
        <w:rPr>
          <w:sz w:val="24"/>
          <w:szCs w:val="24"/>
          <w:color w:val="auto"/>
        </w:rPr>
      </w:pPr>
    </w:p>
    <w:p>
      <w:pPr>
        <w:ind w:left="33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-5080</wp:posOffset>
            </wp:positionV>
            <wp:extent cx="140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001-35805</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Boise Cascade Company</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988" w:right="459" w:bottom="1440" w:gutter="0" w:footer="0" w:header="0"/>
        </w:sectPr>
      </w:pPr>
    </w:p>
    <w:p>
      <w:pPr>
        <w:spacing w:after="0" w:line="36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20-1496201</w:t>
      </w:r>
    </w:p>
    <w:p>
      <w:pPr>
        <w:spacing w:after="0" w:line="31" w:lineRule="exact"/>
        <w:rPr>
          <w:sz w:val="24"/>
          <w:szCs w:val="24"/>
          <w:color w:val="auto"/>
        </w:rPr>
      </w:pPr>
    </w:p>
    <w:p>
      <w:pPr>
        <w:sectPr>
          <w:pgSz w:w="11900" w:h="16838" w:orient="portrait"/>
          <w:cols w:equalWidth="0" w:num="2">
            <w:col w:w="7240" w:space="720"/>
            <w:col w:w="3160"/>
          </w:cols>
          <w:pgMar w:left="320" w:top="988"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380" w:space="720"/>
            <w:col w:w="4020"/>
          </w:cols>
          <w:pgMar w:left="320" w:top="988" w:right="459" w:bottom="1440" w:gutter="0" w:footer="0" w:header="0"/>
          <w:type w:val="continuous"/>
        </w:sectPr>
      </w:pP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1111 West Jefferson Street Suite 300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Boise, Idaho 83702-5389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(208) 384-6161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29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40" w:type="dxa"/>
            <w:vAlign w:val="bottom"/>
          </w:tcPr>
          <w:p>
            <w:pPr>
              <w:spacing w:after="0"/>
              <w:rPr>
                <w:sz w:val="21"/>
                <w:szCs w:val="21"/>
                <w:color w:val="auto"/>
              </w:rPr>
            </w:pPr>
          </w:p>
        </w:tc>
        <w:tc>
          <w:tcPr>
            <w:tcW w:w="25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BCC</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34"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ind w:right="3400"/>
        <w:spacing w:after="0" w:line="25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37,337,473 shares of the registrant's common stock, $0.01 par value per share, outstanding on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16"/>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37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40" w:type="dxa"/>
            <w:vAlign w:val="bottom"/>
            <w:gridSpan w:val="2"/>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8200" w:type="dxa"/>
            <w:vAlign w:val="bottom"/>
            <w:gridSpan w:val="28"/>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Notes to Unaudited Quarterly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1. Nature of Operations and Consolidation</w:t>
            </w:r>
          </w:p>
        </w:tc>
        <w:tc>
          <w:tcPr>
            <w:tcW w:w="2000" w:type="dxa"/>
            <w:vAlign w:val="bottom"/>
            <w:gridSpan w:val="6"/>
          </w:tcPr>
          <w:p>
            <w:pPr>
              <w:spacing w:after="0"/>
              <w:rPr>
                <w:sz w:val="18"/>
                <w:szCs w:val="18"/>
                <w:color w:val="auto"/>
              </w:rPr>
            </w:pPr>
          </w:p>
        </w:tc>
        <w:tc>
          <w:tcPr>
            <w:tcW w:w="4200" w:type="dxa"/>
            <w:vAlign w:val="bottom"/>
            <w:gridSpan w:val="5"/>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2. Summary of Significant Accounting Policies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3. Income Taxes</w:t>
            </w:r>
          </w:p>
        </w:tc>
        <w:tc>
          <w:tcPr>
            <w:tcW w:w="2220" w:type="dxa"/>
            <w:vAlign w:val="bottom"/>
            <w:gridSpan w:val="17"/>
          </w:tcPr>
          <w:p>
            <w:pPr>
              <w:spacing w:after="0"/>
              <w:rPr>
                <w:sz w:val="18"/>
                <w:szCs w:val="18"/>
                <w:color w:val="auto"/>
              </w:rPr>
            </w:pPr>
          </w:p>
        </w:tc>
        <w:tc>
          <w:tcPr>
            <w:tcW w:w="586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4. Net Income Per Common Share</w:t>
            </w:r>
          </w:p>
        </w:tc>
        <w:tc>
          <w:tcPr>
            <w:tcW w:w="678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5. Goodwill and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6. Debt</w:t>
            </w:r>
          </w:p>
        </w:tc>
        <w:tc>
          <w:tcPr>
            <w:tcW w:w="6820" w:type="dxa"/>
            <w:vAlign w:val="bottom"/>
            <w:gridSpan w:val="1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7. Leases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8. Stock-Based Compensation</w:t>
            </w:r>
          </w:p>
        </w:tc>
        <w:tc>
          <w:tcPr>
            <w:tcW w:w="7080" w:type="dxa"/>
            <w:vAlign w:val="bottom"/>
            <w:gridSpan w:val="2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9.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10. Transactions With Related Party</w:t>
            </w:r>
          </w:p>
        </w:tc>
        <w:tc>
          <w:tcPr>
            <w:tcW w:w="6660" w:type="dxa"/>
            <w:vAlign w:val="bottom"/>
            <w:gridSpan w:val="1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11. Segment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12. Commitments, Legal Proceedings and Contingencies, and Guarantees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40" w:type="dxa"/>
            <w:vAlign w:val="bottom"/>
            <w:gridSpan w:val="2"/>
          </w:tcPr>
          <w:p>
            <w:pPr>
              <w:spacing w:after="0"/>
              <w:rPr>
                <w:sz w:val="18"/>
                <w:szCs w:val="18"/>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9"/>
        </w:trPr>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0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Understanding Our Financial Information</w:t>
            </w:r>
          </w:p>
        </w:tc>
        <w:tc>
          <w:tcPr>
            <w:tcW w:w="2920" w:type="dxa"/>
            <w:vAlign w:val="bottom"/>
            <w:tcBorders>
              <w:top w:val="single" w:sz="8" w:color="0000FF"/>
            </w:tcBorders>
            <w:gridSpan w:val="10"/>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Executive Overview</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Factors That Affect Our Operating Results and Trends</w:t>
            </w:r>
          </w:p>
        </w:tc>
        <w:tc>
          <w:tcPr>
            <w:tcW w:w="5320" w:type="dxa"/>
            <w:vAlign w:val="bottom"/>
            <w:gridSpan w:val="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Our Operating Results</w:t>
            </w:r>
          </w:p>
        </w:tc>
        <w:tc>
          <w:tcPr>
            <w:tcW w:w="7600" w:type="dxa"/>
            <w:vAlign w:val="bottom"/>
            <w:gridSpan w:val="2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Industry Mergers and Acquisitions</w:t>
            </w:r>
          </w:p>
        </w:tc>
        <w:tc>
          <w:tcPr>
            <w:tcW w:w="674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6940" w:type="dxa"/>
            <w:vAlign w:val="bottom"/>
            <w:gridSpan w:val="1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Guarantees</w:t>
            </w:r>
          </w:p>
        </w:tc>
        <w:tc>
          <w:tcPr>
            <w:tcW w:w="8440" w:type="dxa"/>
            <w:vAlign w:val="bottom"/>
            <w:gridSpan w:val="3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Seasonal Influences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Employees</w:t>
            </w:r>
          </w:p>
        </w:tc>
        <w:tc>
          <w:tcPr>
            <w:tcW w:w="660" w:type="dxa"/>
            <w:vAlign w:val="bottom"/>
            <w:tcBorders>
              <w:top w:val="single" w:sz="8" w:color="0000FF"/>
            </w:tcBorders>
            <w:gridSpan w:val="6"/>
          </w:tcPr>
          <w:p>
            <w:pPr>
              <w:spacing w:after="0"/>
              <w:rPr>
                <w:sz w:val="18"/>
                <w:szCs w:val="18"/>
                <w:color w:val="auto"/>
              </w:rPr>
            </w:pPr>
          </w:p>
        </w:tc>
        <w:tc>
          <w:tcPr>
            <w:tcW w:w="7800" w:type="dxa"/>
            <w:vAlign w:val="bottom"/>
            <w:gridSpan w:val="2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Disclosures of Financial Market Risks</w:t>
            </w:r>
          </w:p>
        </w:tc>
        <w:tc>
          <w:tcPr>
            <w:tcW w:w="6500" w:type="dxa"/>
            <w:vAlign w:val="bottom"/>
            <w:gridSpan w:val="1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Environmental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New and Recently Adopted Accounting Standards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40" w:type="dxa"/>
            <w:vAlign w:val="bottom"/>
            <w:gridSpan w:val="2"/>
          </w:tcPr>
          <w:p>
            <w:pPr>
              <w:spacing w:after="0"/>
              <w:rPr>
                <w:sz w:val="18"/>
                <w:szCs w:val="18"/>
                <w:color w:val="auto"/>
              </w:rPr>
            </w:pPr>
          </w:p>
        </w:tc>
        <w:tc>
          <w:tcPr>
            <w:tcW w:w="43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42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15"/>
          </w:tcPr>
          <w:p>
            <w:pPr>
              <w:jc w:val="center"/>
              <w:ind w:right="392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40" w:type="dxa"/>
            <w:vAlign w:val="bottom"/>
            <w:gridSpan w:val="2"/>
          </w:tcPr>
          <w:p>
            <w:pPr>
              <w:spacing w:after="0"/>
              <w:rPr>
                <w:sz w:val="24"/>
                <w:szCs w:val="24"/>
                <w:color w:val="auto"/>
              </w:rPr>
            </w:pPr>
          </w:p>
        </w:tc>
        <w:tc>
          <w:tcPr>
            <w:tcW w:w="2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40" w:type="dxa"/>
            <w:vAlign w:val="bottom"/>
            <w:tcBorders>
              <w:top w:val="single" w:sz="8" w:color="0000FF"/>
            </w:tcBorders>
            <w:gridSpan w:val="12"/>
          </w:tcPr>
          <w:p>
            <w:pPr>
              <w:spacing w:after="0"/>
              <w:rPr>
                <w:sz w:val="24"/>
                <w:szCs w:val="24"/>
                <w:color w:val="auto"/>
              </w:rPr>
            </w:pPr>
          </w:p>
        </w:tc>
        <w:tc>
          <w:tcPr>
            <w:tcW w:w="3920" w:type="dxa"/>
            <w:vAlign w:val="bottom"/>
            <w:gridSpan w:val="3"/>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6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40" w:type="dxa"/>
            <w:vAlign w:val="bottom"/>
            <w:gridSpan w:val="2"/>
          </w:tcPr>
          <w:p>
            <w:pPr>
              <w:spacing w:after="0"/>
              <w:rPr>
                <w:sz w:val="18"/>
                <w:szCs w:val="18"/>
                <w:color w:val="auto"/>
              </w:rPr>
            </w:pPr>
          </w:p>
        </w:tc>
        <w:tc>
          <w:tcPr>
            <w:tcW w:w="2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38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40" w:type="dxa"/>
            <w:vAlign w:val="bottom"/>
            <w:gridSpan w:val="2"/>
          </w:tcPr>
          <w:p>
            <w:pPr>
              <w:spacing w:after="0"/>
              <w:rPr>
                <w:sz w:val="18"/>
                <w:szCs w:val="18"/>
                <w:color w:val="auto"/>
              </w:rPr>
            </w:pP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940" w:type="dxa"/>
            <w:vAlign w:val="bottom"/>
            <w:gridSpan w:val="2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40" w:type="dxa"/>
            <w:vAlign w:val="bottom"/>
            <w:gridSpan w:val="2"/>
          </w:tcPr>
          <w:p>
            <w:pPr>
              <w:spacing w:after="0"/>
              <w:rPr>
                <w:sz w:val="18"/>
                <w:szCs w:val="18"/>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40" w:type="dxa"/>
            <w:vAlign w:val="bottom"/>
            <w:gridSpan w:val="2"/>
          </w:tcPr>
          <w:p>
            <w:pPr>
              <w:spacing w:after="0"/>
              <w:rPr>
                <w:sz w:val="18"/>
                <w:szCs w:val="18"/>
                <w:color w:val="auto"/>
              </w:rPr>
            </w:pPr>
          </w:p>
        </w:tc>
        <w:tc>
          <w:tcPr>
            <w:tcW w:w="1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9"/>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60" w:type="dxa"/>
            <w:vAlign w:val="bottom"/>
            <w:gridSpan w:val="3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88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PART I—FINANCIAL INFORMATION</w:t>
      </w:r>
    </w:p>
    <w:p>
      <w:pPr>
        <w:spacing w:after="0" w:line="2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i w:val="1"/>
          <w:i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FINANCIAL STATEMENTS</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Boise Cascade Company</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5"/>
        </w:trPr>
        <w:tc>
          <w:tcPr>
            <w:tcW w:w="5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(thousands, except per-share data)</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3,443,090</w:t>
            </w:r>
          </w:p>
        </w:tc>
      </w:tr>
      <w:tr>
        <w:trPr>
          <w:trHeight w:val="270"/>
        </w:trPr>
        <w:tc>
          <w:tcPr>
            <w:tcW w:w="5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labor, and other operating expenses (excluding 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2,748,119</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70,217</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293,893</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5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3,163,127</w:t>
            </w:r>
          </w:p>
        </w:tc>
      </w:tr>
      <w:tr>
        <w:trPr>
          <w:trHeight w:val="250"/>
        </w:trPr>
        <w:tc>
          <w:tcPr>
            <w:tcW w:w="5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279,963</w:t>
            </w:r>
          </w:p>
        </w:tc>
      </w:tr>
      <w:tr>
        <w:trPr>
          <w:trHeight w:val="250"/>
        </w:trPr>
        <w:tc>
          <w:tcPr>
            <w:tcW w:w="5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expense (excluding service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3"/>
        </w:trPr>
        <w:tc>
          <w:tcPr>
            <w:tcW w:w="5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50"/>
        </w:trPr>
        <w:tc>
          <w:tcPr>
            <w:tcW w:w="5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287,744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(71,328)</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216,416</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39,766</w:t>
            </w:r>
          </w:p>
        </w:tc>
      </w:tr>
      <w:tr>
        <w:trPr>
          <w:trHeight w:val="270"/>
        </w:trPr>
        <w:tc>
          <w:tcPr>
            <w:tcW w:w="5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Boise Cascade Company</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7"/>
                <w:szCs w:val="17"/>
                <w:color w:val="auto"/>
              </w:rPr>
            </w:pPr>
          </w:p>
        </w:tc>
        <w:tc>
          <w:tcPr>
            <w:tcW w:w="24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216,416</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5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actuarial loss, net of tax of $2, $2, $4, and $4,</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216,431</w:t>
            </w: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01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446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Boise Cascade Company</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6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color w:val="auto"/>
              </w:rPr>
              <w:t>(unaudited)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713,260</w:t>
            </w:r>
          </w:p>
        </w:tc>
      </w:tr>
      <w:tr>
        <w:trPr>
          <w:trHeight w:val="230"/>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less allowances of $4,102 and $5,506</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321,820</w:t>
            </w:r>
          </w:p>
        </w:tc>
      </w:tr>
      <w:tr>
        <w:trPr>
          <w:trHeight w:val="229"/>
        </w:trPr>
        <w:tc>
          <w:tcPr>
            <w:tcW w:w="20" w:type="dxa"/>
            <w:vAlign w:val="bottom"/>
          </w:tcPr>
          <w:p>
            <w:pPr>
              <w:spacing w:after="0"/>
              <w:rPr>
                <w:sz w:val="19"/>
                <w:szCs w:val="19"/>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parties</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r>
      <w:tr>
        <w:trPr>
          <w:trHeight w:val="229"/>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803,296</w:t>
            </w: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1,886,068</w:t>
            </w:r>
          </w:p>
        </w:tc>
      </w:tr>
      <w:tr>
        <w:trPr>
          <w:trHeight w:val="237"/>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1,047,083</w:t>
            </w: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49,673</w:t>
            </w:r>
          </w:p>
        </w:tc>
      </w:tr>
      <w:tr>
        <w:trPr>
          <w:trHeight w:val="229"/>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Timber deposits</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30"/>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171,945</w:t>
            </w:r>
          </w:p>
        </w:tc>
      </w:tr>
      <w:tr>
        <w:trPr>
          <w:trHeight w:val="229"/>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173,027</w:t>
            </w:r>
          </w:p>
        </w:tc>
      </w:tr>
      <w:tr>
        <w:trPr>
          <w:trHeight w:val="230"/>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23"/>
        </w:trPr>
        <w:tc>
          <w:tcPr>
            <w:tcW w:w="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3,445,511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3,369,383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01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8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Boise Cascade Company</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(continued)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(thousands, except per-share data)</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297,676</w:t>
            </w:r>
          </w:p>
        </w:tc>
      </w:tr>
      <w:tr>
        <w:trPr>
          <w:trHeight w:val="229"/>
        </w:trPr>
        <w:tc>
          <w:tcPr>
            <w:tcW w:w="20" w:type="dxa"/>
            <w:vAlign w:val="bottom"/>
          </w:tcPr>
          <w:p>
            <w:pPr>
              <w:spacing w:after="0"/>
              <w:rPr>
                <w:sz w:val="19"/>
                <w:szCs w:val="19"/>
                <w:color w:val="auto"/>
              </w:rPr>
            </w:pPr>
          </w:p>
        </w:tc>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127,415</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127,653</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564,016</w:t>
            </w: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446,167</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26,883</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78,849</w:t>
            </w:r>
          </w:p>
        </w:tc>
      </w:tr>
      <w:tr>
        <w:trPr>
          <w:trHeight w:val="230"/>
        </w:trPr>
        <w:tc>
          <w:tcPr>
            <w:tcW w:w="20" w:type="dxa"/>
            <w:vAlign w:val="bottom"/>
          </w:tcPr>
          <w:p>
            <w:pPr>
              <w:spacing w:after="0"/>
              <w:rPr>
                <w:sz w:val="19"/>
                <w:szCs w:val="19"/>
                <w:color w:val="auto"/>
              </w:rPr>
            </w:pPr>
          </w:p>
        </w:tc>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17,014</w:t>
            </w:r>
          </w:p>
        </w:tc>
      </w:tr>
      <w:tr>
        <w:trPr>
          <w:trHeight w:val="223"/>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207,926</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per share; 50,000 shares authorized, no shares issued and outstanding</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0" w:type="dxa"/>
            <w:vAlign w:val="bottom"/>
          </w:tcPr>
          <w:p>
            <w:pPr>
              <w:spacing w:after="0"/>
              <w:rPr>
                <w:sz w:val="15"/>
                <w:szCs w:val="15"/>
                <w:color w:val="auto"/>
              </w:rPr>
            </w:pPr>
          </w:p>
        </w:tc>
        <w:tc>
          <w:tcPr>
            <w:tcW w:w="8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per share; 300,000 shares authorized, 45,248 and 45,139 shares issued,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stock, 7,793 and 6,956 shares at cost, respectively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(341,974)</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565,041</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1,928,216</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2,152,057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2,151,274</w:t>
            </w:r>
          </w:p>
        </w:tc>
      </w:tr>
      <w:tr>
        <w:trPr>
          <w:trHeight w:val="248"/>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3,369,383</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Boise Cascade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1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in net income not using (providing)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deferred financing costs and 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71,832</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working capital, net of 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(102,096)</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(120,976)</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169,165</w:t>
            </w:r>
          </w:p>
        </w:tc>
      </w:tr>
      <w:tr>
        <w:trPr>
          <w:trHeight w:val="129"/>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 investment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businesses and facilities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 and 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for investment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(76,667)</w:t>
            </w: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 financing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of long-term debt, including revolving credit facility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revolving credit facility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purchased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(88,858)</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payments on stock-based awards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for financing</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(119,996)</w:t>
            </w: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w:t>
            </w:r>
          </w:p>
        </w:tc>
      </w:tr>
      <w:tr>
        <w:trPr>
          <w:trHeight w:val="149"/>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the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949,574</w:t>
            </w:r>
          </w:p>
        </w:tc>
      </w:tr>
      <w:tr>
        <w:trPr>
          <w:trHeight w:val="148"/>
        </w:trPr>
        <w:tc>
          <w:tcPr>
            <w:tcW w:w="8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481,019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922,076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Boise Cascade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600" w:type="dxa"/>
            <w:vAlign w:val="bottom"/>
          </w:tcPr>
          <w:p>
            <w:pPr>
              <w:spacing w:after="0"/>
              <w:rPr>
                <w:sz w:val="3"/>
                <w:szCs w:val="3"/>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3"/>
                <w:szCs w:val="3"/>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26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45,139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(341,974)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565,041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1,928,216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2,151,274</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purchased</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(53,884)</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dividends ($0.21 per</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withholding payments on stock-</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based awards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7,439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(396,284)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562,859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1,960,504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2,127,077</w:t>
            </w: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61,985</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purchased</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(32,127)</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dividends ($0.21 per</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withholding payments on stock-</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based awards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45,248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7,793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(428,732)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566,111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2,014,674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2,152,057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Boise Cascade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600" w:type="dxa"/>
            <w:vAlign w:val="bottom"/>
          </w:tcPr>
          <w:p>
            <w:pPr>
              <w:spacing w:after="0"/>
              <w:rPr>
                <w:sz w:val="3"/>
                <w:szCs w:val="3"/>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3"/>
                <w:szCs w:val="3"/>
                <w:color w:val="auto"/>
              </w:rPr>
            </w:pPr>
          </w:p>
        </w:tc>
        <w:tc>
          <w:tcPr>
            <w:tcW w:w="92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26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560,697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1,780,369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2,195,664</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104,124</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purchased</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dividends ($0.20 per</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withholding payments on stock-</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based awards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5,649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(172,377)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553,821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1,875,816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2,257,202</w:t>
            </w: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112,292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Common stock issued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Treasury stock purchased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40" w:right="20"/>
        <w:spacing w:after="0" w:line="245" w:lineRule="auto"/>
        <w:rPr>
          <w:sz w:val="20"/>
          <w:szCs w:val="20"/>
          <w:color w:val="auto"/>
        </w:rPr>
      </w:pPr>
      <w:r>
        <w:rPr>
          <w:rFonts w:ascii="Times New Roman" w:cs="Times New Roman" w:eastAsia="Times New Roman" w:hAnsi="Times New Roman"/>
          <w:sz w:val="16"/>
          <w:szCs w:val="16"/>
          <w:color w:val="auto"/>
        </w:rPr>
        <w:t>Common stock dividends ($0.20 per share)</w:t>
      </w:r>
    </w:p>
    <w:p>
      <w:pPr>
        <w:spacing w:after="0" w:line="2" w:lineRule="exact"/>
        <w:rPr>
          <w:sz w:val="20"/>
          <w:szCs w:val="20"/>
          <w:color w:val="auto"/>
        </w:rPr>
      </w:pPr>
    </w:p>
    <w:p>
      <w:pPr>
        <w:ind w:left="40"/>
        <w:spacing w:after="0" w:line="245" w:lineRule="auto"/>
        <w:rPr>
          <w:sz w:val="20"/>
          <w:szCs w:val="20"/>
          <w:color w:val="auto"/>
        </w:rPr>
      </w:pPr>
      <w:r>
        <w:rPr>
          <w:rFonts w:ascii="Times New Roman" w:cs="Times New Roman" w:eastAsia="Times New Roman" w:hAnsi="Times New Roman"/>
          <w:sz w:val="16"/>
          <w:szCs w:val="16"/>
          <w:color w:val="auto"/>
        </w:rPr>
        <w:t>Tax withholding payments on stock-based awards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(61,887)</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w:t>
            </w:r>
          </w:p>
        </w:tc>
      </w:tr>
      <w:tr>
        <w:trPr>
          <w:trHeight w:val="37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w:t>
            </w:r>
          </w:p>
        </w:tc>
      </w:tr>
      <w:tr>
        <w:trPr>
          <w:trHeight w:val="37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35"/>
        </w:trPr>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08"/>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45,130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(234,879)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557,478</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1,980,428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2,302,976</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-1216660</wp:posOffset>
            </wp:positionV>
            <wp:extent cx="710628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-942340</wp:posOffset>
            </wp:positionV>
            <wp:extent cx="71062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-565150</wp:posOffset>
            </wp:positionV>
            <wp:extent cx="710628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-179705</wp:posOffset>
            </wp:positionV>
            <wp:extent cx="710628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20"/>
            <w:col w:w="8580"/>
          </w:cols>
          <w:pgMar w:left="320" w:top="121" w:right="3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unaudited quarterly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Condensed Notes to Unaudited Quarterly Consolidated Financial Statements</w:t>
      </w:r>
    </w:p>
    <w:p>
      <w:pPr>
        <w:spacing w:after="0" w:line="2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1.</w:t>
        <w:tab/>
        <w:t>Nature of Operations and Consolidation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25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Boise Cascade Company is a building products company headquartered in Boise, Idaho. As used in this Form 10-Q, the terms "Boise Cascade," "we," and "our" refer to Boise Cascade Company and its consolidated subsidiaries. We are one of the largest producers of engineered wood products (EWP) and plywood in North America and a leading United States wholesale distributor of building products.</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operate our business using two reportable segments: (1) Wood Products, which primarily manufactures EWP and plywood, and (2) Building Materials Distribution (BMD), which is a wholesale distributor of building materials. For more information, see Note 11, Segment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quarterly consolidated financial statements have not been audited by an independent registered public accounting firm but, in the opinion of management, include all adjustments necessary to present fairly the financial position, results of operations, cash flows, and stockholders' equity for the interim periods presented. Except as disclosed within these condensed notes to unaudited quarterly consolidated financial statements, the adjustments made were of a normal, recurring nature. Certain information and footnote disclosures normally included in our annual consolidated financial statements have been condensed or omitted. The quarterly consolidated financial statements include the accounts of Boise Cascade and its subsidiaries after elimination of intercompany balances and transactions. Quarterly results are not necessarily indicative of results that may be expected for the full year. These condensed notes to unaudited quarterly consolidated financial statements should be read in conjunction with our 2024 Form 10-K and the other reports we file with the Securities and Exchange Commission.</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2.</w:t>
        <w:tab/>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Policies</w:t>
      </w:r>
    </w:p>
    <w:p>
      <w:pPr>
        <w:spacing w:after="0" w:line="2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complete summary of significant accounting policies is included in Note 2, Summary of Significant Accounting Policies, of the Notes to Consolidated Financial Statements in "Item 8. Financial Statements and Supplementary Data" in our 2024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legal contingencies; guarantee obligations; indemnifications; assumptions used in retirement, medical, and workers' compensation benefits; assumptions used in the determination of right-of-use (ROU) assets and related lease liabilities; stock-based compensation; fair value measurements; income taxes; and vendor and customer rebates,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We adjust such estimates and assumptions when facts and circumstances dictate. As future events and their effects cannot be determined with precision, actual results could differ significantly from these estimates. Changes in these estimates resulting from continuing changes in the economic environment will be reflected in the consolidated financial statements in future periods.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goods or services. For revenue disaggregated by major product line for each reportable segment, see Note 11, Segment Information.</w:t>
      </w:r>
    </w:p>
    <w:p>
      <w:pPr>
        <w:spacing w:after="0" w:line="20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Fees for shipping and handling charged to customers for sales transactions are included in "Sales" in our Consolidated Statements of Operations. When control over products has transferred to the customer, we have elected to recognize costs related to shipping and handling as fulfillment costs. For our Wood Products segment, costs related to shipping and handling are included in "Materials, labor, and other operating expenses (excluding depreciation)" in our Consolidated Statements of Operations. In our Wood Products segment, we view our shipping and handling costs as a cost of the manufacturing process and the movement of product to our end customers. For our BMD segment, costs related to shipping and handling of $68.9 million and $64.5 million for the three months ended June 30, 2025 and 2024, respectively, and $129.2 million and $123.4 million for the six months ended June 30, 2025 and 2024, respectively, are included in "Selling and distribution expenses" in our Consolidated Statements of Operations. In our BMD segment, our activities relate to the purchase and resale of finished products, and excluding shipping and handling costs from "Materials, labor, and other operating expenses (excluding depreciation)" provides us a clearer view of our operating performance and the effectiveness of our sales and purchasing functions.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Rebates and Allowances and Cash Discounts</w:t>
      </w:r>
    </w:p>
    <w:p>
      <w:pPr>
        <w:spacing w:after="0" w:line="25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Rebates are provided to our customers and our customers' customers based on the volume of their purchases, among other factors such as customer loyalty, conversion, and commitment, as well as temporary protection from price increases. We provide the rebates to increase the sell-through of our products. Rebates are generally estimated based on the expected amount to be paid and recorded as a decrease in "Sales." At June 30, 2025 and December 31, 2024, we had $84.0 million and $91.4 million, respectively, of rebates payable to our customers recorded in "Accrued liabilities, Other" on our Consolidated Balance Sheets. We also estimate expected cash discounts on trade accounts receivable based on an analysis of historical experience and record cash discounts as a decrease in "Sales." We adjust our estimate of revenue at the earlier of when the probability of rebates paid and cash discounts provided changes or when the amounts become fixed. There have not been significant changes to our estimates of rebates, although it is reasonably possible that a change in the estimate may occur.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 and Allowances</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receive rebates and allowances from our vendors under a number of different programs, including vendor marketing programs. At June 30, 2025 and December 31, 2024, we had $10.0 million and $17.7 million, respectively, of vendor rebates and allowances recorded in "Receivables, Other" on our Consolidated Balance Sheets. Rebates and allowances received from our vendors are recognized as a reduction of "Materials, labor, and other operating expenses (excluding depreciation)" when the product is sold, unless the rebates and allowances are linked to a specific incremental cost to sell a vendor's product. Amounts received from vendors that are linked to specific selling and distribution expenses are recognized as a reduction of "Selling and distribution expenses" in the period the expense is incurred.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primarily lease land, buildings, and equipment under operating and finance leases. We determine if an arrangement is a lease at inception and assess lease classification as either operating or finance at lease inception or upon modification. Substantially all of our leases with initial terms greater than one year are for real estate, including distribution centers, corporate headquarters, land, and other office space. Substantially all of these lease agreements have fixed payment terms based on the passage of time and are recorded in our BMD segment. Many of our leases include fixed escalation clauses, renewal options and/or termination options that are factored into our determination of lease term and lease payments when appropriate. Renewal options generally range from one to ten years with fixed payment terms similar to those in the original lease agreements. Some lease agreements provide us with the option to purchase the leased property at market value. Our lease agreements do not contain any residual value guarantees.</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fixed lease payments over the lease term. The current portion of our operating and finance lease liabilities are recorded in "Accrued liabilities, Other" on our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use our estimated incremental borrowing rate, which is derived from information available at the lease commencement date, in determining the present value of lease payments. In determining our incremental borrowing rates, we give consideration to publicly available interest rates for instruments with similar characteristics, including credit rating, term, and collateralization.</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straight-line rent expense, the lease term is calculated from the date we first take possession of the facility, including any periods of free rent and any renewal option periods we are reasonably certain of exercising. Variable lease expense generally includes reimbursement of actual costs for common area maintenance, property taxes, and insurance on leased real estate and are recorded as incurred. Most of our operating lease expense is recorded in "Selling and distribution expenses" in our Consolidated Statements of Operations. In addition, we do not separate lease and non-lease components for all of our leases.</w:t>
      </w:r>
    </w:p>
    <w:p>
      <w:pPr>
        <w:spacing w:after="0" w:line="21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short-term leases primarily include equipment rentals with lease terms on a month-to-month basis, which provide for our seasonal needs and flexibility in the use of equipment. Our short-term leases also include certain real estate for which either party has the right to cancel upon providing notice of 30 to 90 days. We do not recognize ROU assets or lease liabilities for short-term leases.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included the following (work in process is not material):</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Logs</w:t>
            </w: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raw materials and supplies</w:t>
            </w:r>
          </w:p>
        </w:tc>
        <w:tc>
          <w:tcPr>
            <w:tcW w:w="3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918,957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324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9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asset classes: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3"/>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4"/>
                <w:szCs w:val="24"/>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12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480" w:type="dxa"/>
            <w:vAlign w:val="bottom"/>
          </w:tcPr>
          <w:p>
            <w:pPr>
              <w:spacing w:after="0"/>
              <w:rPr>
                <w:sz w:val="19"/>
                <w:szCs w:val="19"/>
                <w:color w:val="auto"/>
              </w:rPr>
            </w:pP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94,591</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360,518</w:t>
            </w: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Improvements</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87,512</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Mobile equipment, information technology, and office furniture</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296,604</w:t>
            </w: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1,089,117</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147,668</w:t>
            </w:r>
          </w:p>
        </w:tc>
      </w:tr>
      <w:tr>
        <w:trPr>
          <w:trHeight w:val="223"/>
        </w:trPr>
        <w:tc>
          <w:tcPr>
            <w:tcW w:w="128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2,076,010</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(1,028,927)</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1,116,343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1,047,083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and December 31, 2024, we had $11.4 million and $10.8 million, respectively, of accrued purchases of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under GAAP gives the highest priority to quoted market prices (Level 1) and the lowest priority to unobservable inputs (Level 3). In general, and where applicable, we use quoted prices in active markets for identical assets or liabilities to determine fair value (Level 1). If quoted prices in active markets for identical assets or liabilities are not available to determine fair value, we use quoted prices for similar assets and liabilities or inputs that are observable either directly or indirectly (Level 2). If quoted prices for identical or similar assets are not available or are unobservable, we may use internally developed valuation models, whose inputs include bid prices, and third-party valuations utilizing underlying asset assumptions (Level 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financial instruments are cash and cash equivalents, accounts receivable, accounts payable, long-term debt, and an interest rate swap, which expired in June 2025. Our cash is recorded at cost, which approximates fair value, and our cash equivalents are money market funds. As of June 30, 2025 and December 31, 2024, we held $444.3 million and $679.5 million, respectively, in money market funds that are measured at fair value on a recurring basis using Level 1 inputs. The recorded values of accounts receivable and accounts payable approximate fair values based on their short-term nature. At June 30, 2025 and December 31, 2024, the book value of our fixed-rate debt for each period was $400.0 million, and the fair value was estimated to be $388.0 million and $377.0 million, respectively. The difference between the book value and the fair value is derived from the difference between the period-end market interest rate and the stated rate of our fixed-rate, long-term debt. We estimated the fair value of our fixed-rate debt using quoted market prices of our debt in inactive markets (Level 2 inputs). The interest rate on our variable-rate debt is based on market conditions such as the Secured Overnight Financing Rate (SOFR). Because the interest rate on the variable-rate debt is based on current market conditions, we believe that the estimated fair value of the outstanding balance on our variable-rate debt approximates book value. As discussed below, prior to its expiration in June 2025, we also had an interest rate swap to mitigate our variable interest rate exposure, the fair value of which was measured based on Level 2 inputs.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 and Interest Rate Swap</w:t>
      </w:r>
    </w:p>
    <w:p>
      <w:pPr>
        <w:spacing w:after="0" w:line="25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arising from fluctuations in variable-rate SOFR when we have loan amounts outstanding on our revolving credit facility.</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we were exposed to interest rate risk arising from fluctuations in variable-rate SOFR on our term loan prior to its repayment in April 2025. To limit the variability of interest payments on our debt, we entered into receive-variable, pay-fixed interest rate swaps to mitigate the variable-rate cash flow exposure with fixed-rate cash flows.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interest rate swap agreement expired in June 2025. Under the interest rate swap, we received one-month SOFR plus a spread adjustment of 0.10% variable interest rate payments and made fixed interest rate payments, thereby fixing the interest rate on $50.0 million of variable rate debt exposure from our term loan. Payments on this interest rate swap, with a notional principal amount of $50.0 million, were due on a monthly basis at an annual fixed rate of 0.41%. The interest rate swap agreement was not designated as a cash flow hedge, and as a result, all changes in the fair value were recognized in "Change in fair value of interest rate swaps" in our Consolidated Statements of Operations rather than through other comprehensive income. At December 31, 2024, the fair value of the interest rate swap agreement was immaterial. The swap was valued based on observable inputs for similar assets and liabilities and other observable inputs for interest rates and yield curves (Level 2 inputs).</w:t>
      </w:r>
    </w:p>
    <w:p>
      <w:pPr>
        <w:spacing w:after="0" w:line="2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our risk management strategy, we actively monitor our interest rate exposure and use derivative instruments from time to time to manage the related risk. We do not speculate using derivative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credit risk related to customer accounts receivable. In order to manage credit risk, we consider customer concentrations and current economic trends and monitor the creditworthiness of significant customers based on ongoing credit evaluations. At June 30, 2025, receivables from two customers accounted for approximately 18% and 14% of total receivables. At December 31, 2024, receivables from these two customers accounted for approximately 19% and 11% of total receivables. No other customer accounted for 10% or more of total receivables.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and Recently Adopted Accounting Standards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740): Improvements to Income Tax Disclosures, </w:t>
      </w:r>
      <w:r>
        <w:rPr>
          <w:rFonts w:ascii="Times New Roman" w:cs="Times New Roman" w:eastAsia="Times New Roman" w:hAnsi="Times New Roman"/>
          <w:sz w:val="18"/>
          <w:szCs w:val="18"/>
          <w:color w:val="auto"/>
        </w:rPr>
        <w:t>which requires additional income tax disclosures, primarily related to the rate reconciliation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paid. The amendments in this ASU are effective for annual periods beginning after December 15, 2024 on a prospective basis. Early adoption is permitted. We are currently evaluating the impact of this ASU on the disclosures related to our consolidated financial statements.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disclosure of specified costs and expenses in the notes to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including purchases of inventory, employee compensation, depreciation and amortization. The amendments in this ASU are effective for annual reporting periods beginning after December 15, 2026, and interim reporting periods beginning after December 15, 2027. Early adoption is permitted. We are currently evaluating the impact of this ASU on the disclosures related to our consolidated financial statements.</w:t>
      </w:r>
    </w:p>
    <w:p>
      <w:pPr>
        <w:spacing w:after="0" w:line="21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accounting standards recently issued that had or are expected to have a material impact on our consolidated financial statements and associated disclosures.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3.</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$18.6 million and $32.5 million, respectively, of income tax expense and had an effective rate of 23.1% and 24.1%, respectively. For the three and six months ended June 30, 2024, we recorded $38.5 million and $71.3 million, respectively, of income tax expense and had an effective rate of 25.5% and 24.8%, respectively. For all periods, the primary reason for the difference between the federal statutory income tax rate of 21% and the effective tax rate was the effect of state taxes.</w:t>
      </w:r>
    </w:p>
    <w:p>
      <w:pPr>
        <w:spacing w:after="0" w:line="20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cash paid for taxes, net of refunds received, were $32.1 million and $66.5 million, respectively.</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4.</w:t>
      </w:r>
      <w:r>
        <w:rPr>
          <w:sz w:val="20"/>
          <w:szCs w:val="20"/>
          <w:color w:val="auto"/>
        </w:rPr>
        <w:tab/>
      </w:r>
      <w:r>
        <w:rPr>
          <w:rFonts w:ascii="Times New Roman" w:cs="Times New Roman" w:eastAsia="Times New Roman" w:hAnsi="Times New Roman"/>
          <w:sz w:val="17"/>
          <w:szCs w:val="17"/>
          <w:b w:val="1"/>
          <w:bCs w:val="1"/>
          <w:i w:val="1"/>
          <w:iCs w:val="1"/>
          <w:color w:val="auto"/>
        </w:rPr>
        <w:t>Net Income Per Common Share</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during the period. Diluted net income per common share is computed by dividing net income by the combination of the weighted average number of common shares outstanding during the period and other potentially dilutive weighted average common shares. Other potentially dilutive weighted average common shares include the dilutive effect of restricted stock units and performance stock units for each period using the treasury stock method. Under the treasury stock method, the exercise price of a share and the amount of compensation expense, if any, for future service that has not yet been recognized are assumed to be used to repurchase shares in the current period.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(thousands, except per-share data)</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216,416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Weighted average common shares outstanding during the period (for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calculation)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other potential common shares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156"/>
        </w:trPr>
        <w:tc>
          <w:tcPr>
            <w:tcW w:w="52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and potential common shares (for</w:t>
            </w: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39,766</w:t>
            </w: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calculation)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computation of the dilutive effect of other potential common shares excludes stock awards representing 0.1 million shares of common stock and an insignificant number of shares of common stock, respectively, in the three months ended June 30, 2025 and 2024, and 0.1 million shares of common stock and an insignificant number of shares of common stock, respectively, in the six months ended June 30, 2025 and 2024. Under the treasury stock method, the inclusion of these stock awards would have been antidilutive.</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5.</w:t>
        <w:tab/>
        <w:t>Goodwill and Intangible Assets</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and related costs over the fair value of the net tangible and intangible assets of businesses acquired.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 of our goodwill by segment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Building</w:t>
            </w:r>
          </w:p>
        </w:tc>
        <w:tc>
          <w:tcPr>
            <w:tcW w:w="220" w:type="dxa"/>
            <w:vAlign w:val="bottom"/>
          </w:tcPr>
          <w:p>
            <w:pPr>
              <w:spacing w:after="0"/>
              <w:rPr>
                <w:sz w:val="16"/>
                <w:szCs w:val="16"/>
                <w:color w:val="auto"/>
              </w:rPr>
            </w:pPr>
          </w:p>
        </w:tc>
        <w:tc>
          <w:tcPr>
            <w:tcW w:w="17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7"/>
              </w:rPr>
              <w:t>Wood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660"/>
              <w:spacing w:after="0" w:line="162" w:lineRule="exact"/>
              <w:rPr>
                <w:sz w:val="20"/>
                <w:szCs w:val="20"/>
                <w:color w:val="auto"/>
              </w:rPr>
            </w:pPr>
            <w:r>
              <w:rPr>
                <w:rFonts w:ascii="Times New Roman" w:cs="Times New Roman" w:eastAsia="Times New Roman" w:hAnsi="Times New Roman"/>
                <w:sz w:val="16"/>
                <w:szCs w:val="16"/>
                <w:b w:val="1"/>
                <w:bCs w:val="1"/>
                <w:color w:val="auto"/>
              </w:rPr>
              <w:t>Materials</w:t>
            </w:r>
          </w:p>
        </w:tc>
        <w:tc>
          <w:tcPr>
            <w:tcW w:w="2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 and June 30, 2025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45,779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126,166</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171,945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intangible assets represented the values assigned to trade names and trademarks and customer relationships. We maintain trademarks for our manufactured wood products, particularly EWP. Our key registered trademarks are perpetual in duration as long as we continue to timely file all post registration maintenance documents related thereto. These trade names and trademarks have indefinite lives, are not amortized, and have a carrying amount of $8.9 million. In addition, we have acquired trade names and customer relationships through acquisitions, which are amortized over their useful life. For the three months ended June 30, 2025 and 2024 we recognized $5.1 million and $4.9 million, respectively, of amortization expense for intangible assets. For the six months ended June 30, 2025 and 2024 we recognized $10.2 million and $9.8 million, respectively, of amortization expense for intangible assets.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55"/>
        </w:trPr>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3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6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138,055</w:t>
            </w:r>
          </w:p>
        </w:tc>
      </w:tr>
      <w:tr>
        <w:trPr>
          <w:trHeight w:val="248"/>
        </w:trPr>
        <w:tc>
          <w:tcPr>
            <w:tcW w:w="6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162,856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3"/>
                <w:szCs w:val="13"/>
                <w:color w:val="auto"/>
              </w:rPr>
            </w:pPr>
          </w:p>
        </w:tc>
        <w:tc>
          <w:tcPr>
            <w:tcW w:w="138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231"/>
              <w:spacing w:after="0" w:line="155"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(49,474)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6.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6"/>
          </w:tcPr>
          <w:p>
            <w:pPr>
              <w:jc w:val="right"/>
              <w:ind w:right="1211"/>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2030</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senior notes due 2030</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revolving credit facility due 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Asset-based credit facility term loan due 2027</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444,884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446,167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April 14, 2025, we entered into a Credit Agreement (the Credit Agreement) with JPMorgan Chase Bank, N.A., as administrative agent and a lender, and the other lenders from time to time party thereto. The Credit Agreement provides for a $450 million revolving credit facility (the Revolver), which includes a $45 million swingline sub-facility and a $75 million letter of credit sub-facility. Borrowings under the Revolver may be repaid and re-borrowed from time to time at our discretion without premium or penalty. The proceeds of borrowings under the agreement are available for working capital needs and general business purposes. The Credit Agreement matures on April 12, 2030.</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Interest rates under the Credit Agreement are based, at our election, on either an Alternate Base Rate, a Term SOFR Rate, or a Daily Simple SOFR Rate (each as defined in the Credit Agreement), each plus an applicable spread based on our net leverage ratio. The frequency of interest payments on borrowings under the Credit Agreement is dependent on the type of borrowing outstanding. In addition, we are required to pay an unused commitment fee on the unused portion of the lending commitments. This fee ranges from 0.20% to 0.30% per annum, dependent upon our net leverage ratio.</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is secured by a first priority security interest in substantially all of the assets of Boise Cascade Company and the guarantors under the Credit Agreement, except real property and certain other excluded property. The obligations of Boise Cascade Company are required to be guaranteed by all Material Domestic Subsidiaries (as defined in the Credit Agreement).</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nonfinancial covenants, including but not limited to, restrictions on new indebtedness, liens, dispositions, certain investments, mergers, swap agreements, restricted payments, and restrictions on affiliate transactions. The Credit Agreement also contains a requirement that our net leverage ratio shall not exceed 3.5:1 as of the last day of any fiscal quarter. The restricted payment covenant imposes restrictions on our ability to pay dividends. Among other carve outs from this provision is one that allows us to pay dividends without any dollar limitation, so long as both before and immediately after giving effect to such payments, (i) no default exists or would result therefrom and (ii) the net leverage ratio is less than or equal to 3:1.</w:t>
      </w:r>
    </w:p>
    <w:p>
      <w:pPr>
        <w:spacing w:after="0" w:line="21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Credit Agreement described above, we terminated the Prior Credit Agreement described below. Proceeds from the Revolver were used to repay the $50.0 million term loan under the Prior Credit Agreement. The outstanding letters of credit under the Prior Credit Agreement were transferred to the Credit Agreement in connection with the termination. We did not incur any penalties in connection with the termination of the Prior Credit Agreement. The new credit facility under the Credit Agreement is not an asset-based credit facility.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we had $50.0 million outstanding under the Revolver and $4.8 million of letters of credit outstanding. These letters of credit and borrowings, if any, reduce availability under the Revolver by an equivalent amount.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Asset-Based Credit Facility</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May 15, 2015, Boise Cascade and its principal operating subsidiaries, Boise Cascade Wood Products, L.L.C., and Boise Cascade Building Materials Distribution, L.L.C., as borrowers, and Boise Cascade Wood Products Holdings Corp., as guarantor, entered into an Amended and Restated Credit Agreement, as amended, (the Prior Credit Agreement) with Wells Fargo Capital Finance, LLC, as administrative agent, and the banks named therein as lenders. The Prior Credit Agreement included a $400 million senior secured asset-based revolving credit facility and a $50.0 million term loan, which were both terminated in connection with entry into the Credit Agreement on April 14, 2025, as discussed above.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we had no borrowings outstanding under the Prior Credit Agreement and $4.3 million of letters of credit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letters of credit and borrowings, if any, reduced availability under the Prior Credit Agreement by an equivalent amount.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July 27, 2020, we issued $400 million of 4.875% senior notes due July 1, 2030 (2030 Notes) through a private placement that was exempt from the registration requirements of the Securities Act. Interest on our 2030 Notes is payable semiannually in arrears on January 1 and July 1. The 2030 Notes are guaranteed by each of our existing and future direct or indirect domestic subsidiaries that is a guarantor under our Credit Agreement.</w:t>
      </w:r>
    </w:p>
    <w:p>
      <w:pPr>
        <w:spacing w:after="0" w:line="20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2030 Notes are senior unsecured obligations and rank equally with all of the existing and future senior indebtedness of Boise Cascade Company and of the guarantors, senior to all of their existing and future subordinated indebtedness, effectively subordinated to all of their present and future senior secured indebtedness (including all borrowings with respect to our Credit Agreement to the extent of the value of the assets securing such indebtedness), and structurally subordinated to the indebtedness of any subsidiaries that do not guarantee the 2030 Notes.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terms of the indenture governing the 2030 Notes, among other things, limit the ability of Boise Cascade and our restricted subsidiaries to: incur additional debt; declare or pay dividends; redeem stock or make other distributions to stockholders; make investments; create liens on assets; consolidate, merge or transfer substantially all of their assets; enter into transactions with affiliates; and sell or transfer certain assets. The indenture governing the 2030 Notes permits us to pay dividends only if at the time of payment (i) no default has occurred or is continuing (or would result from such payment) under the indenture, and (ii) our consolidated leverage ratio is no greater than 3.5:1, or (iii) the dividend, together with other dividends since the issue date, would not exceed our "builder" basket under the indenture. In addition, the indenture includes certain specific baskets for the payment of dividends.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governing the 2030 Notes provides for customary events of default and remedies.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information on our interest rate swap, which expired in June 2025, see "Interest Rate Risk and Interest Rate Swap" of Note 2,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Paid for Interest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six months ended June 30, 2025 and 2024, cash payments for interest were $8.1 million and $10.3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tc>
        <w:tc>
          <w:tcPr>
            <w:tcW w:w="3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Lease Costs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4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1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30"/>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33"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18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5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6,797</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8,885</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864"/>
        </w:trPr>
        <w:tc>
          <w:tcPr>
            <w:tcW w:w="5300" w:type="dxa"/>
            <w:vAlign w:val="bottom"/>
          </w:tcPr>
          <w:p>
            <w:pPr>
              <w:spacing w:after="0"/>
              <w:rPr>
                <w:sz w:val="24"/>
                <w:szCs w:val="24"/>
                <w:color w:val="auto"/>
              </w:rPr>
            </w:pPr>
          </w:p>
        </w:tc>
        <w:tc>
          <w:tcPr>
            <w:tcW w:w="24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790"/>
        </w:trPr>
        <w:tc>
          <w:tcPr>
            <w:tcW w:w="86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88"/>
        </w:trPr>
        <w:tc>
          <w:tcPr>
            <w:tcW w:w="1280" w:type="dxa"/>
            <w:vAlign w:val="bottom"/>
          </w:tcPr>
          <w:p>
            <w:pPr>
              <w:spacing w:after="0"/>
              <w:rPr>
                <w:sz w:val="7"/>
                <w:szCs w:val="7"/>
                <w:color w:val="auto"/>
              </w:rPr>
            </w:pPr>
          </w:p>
        </w:tc>
        <w:tc>
          <w:tcPr>
            <w:tcW w:w="57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229"/>
        </w:trPr>
        <w:tc>
          <w:tcPr>
            <w:tcW w:w="8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8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4"/>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our minimum lease payment requirements for noncancelable operating and finance leases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23"/>
        </w:trPr>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17,087</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27,714</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17,204</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 undiscounted future lease payments for additional leases that have not yet commenced was approximately $9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is expected to commence in 2025 with a lease term of approximately 9 years.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8.</w:t>
        <w:tab/>
        <w:t>Stock-Based Compensation</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April 2016, we adopted the 2016 Boise Cascade Omnibus Incentive Plan (2016 Incentive Plan), which was amended and restated as the 2025 Boise Cascade Omnibus Incentive Plan (2025 Incentive Plan) and approved by our stockholders in May 2025. The 2025 Incentive Plan provides for grants of stock options, stock appreciation rights, restricted stock, other stock-based awards, cash-based compensation, and performance awards. Directors, officers, and other employees, as well as consultants and advisors, are eligible for grants under the 2025 Incentive Plan. These awards are at the discretion of the compensation committee of our board of directors, and they vest and expire in accordance with terms established at the time of grant. All awards under the 2025 Incentive Plan, other than stock options or stock appreciation rights, are eligible to participate in dividend or dividend equivalent payments, if any, which we accrue to be paid if and when the awards vest. Shares issued pursuant to awards under the 2025 Incentive Plan are from our authorized, but unissued shares. The maximum number of shares approved for grant under the 2025 Incentive Plan is 1.7 million shares.</w:t>
      </w:r>
    </w:p>
    <w:p>
      <w:pPr>
        <w:spacing w:after="0" w:line="21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we granted two types of stock-based awards: performance stock units (PSUs) and restricted stock units (RSUs). Pursuant to the terms of the 2025 Incentive Plan, all stock-based awards granted after December 31, 2024 reduce the amount of shares available for issuance. Therefore, as of June 30, 2025, 1.5 million shares remained available for future issuance under the 2025 Incentive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 and RSU Awards</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2025, we granted 83,616 PSUs to our officers and other employees, subject to performance and service conditions. For the officers, the PSUs granted are subject to a three-year performance period. The number of shares actually awarded will range from 0% to 200% of the target amount. Achievement is measured in annual sub-periods, based on Boise Cascade's return on invested capital (ROIC) for 2025, 2026, and 2027. The average achievement for the three years included in the performance period will determine the number of earned PSUs, as approved by our compensation committee in accordance with the related grant agreement. We define ROIC as net operating profit after taxes (NOPAT) divided by average invested capital (based on a rolling thirteen-month average). We define NOPAT as net income plus after-tax financing expense. Invested capital is defined as total assets plus capitalized lease expense, less cash, cash equivalents, and current liabilities, excluding short-term debt. For the other employees, the PSUs granted are subject to a one-year performance period. The number of shares actually awarded will range from 0% to 200% of the target amount, depending upon Boise Cascade’s 2025 EBITDA, defined as income before interest (interest expense and interest income), income taxes, and depreciation and amortization, as approved by executive management, determined in accordance with the related grant agreement. Because the PSUs contain a performance condition, we record compensation expense over the requisite service period based on the most probable number of shares expected to vest.</w:t>
      </w:r>
    </w:p>
    <w:p>
      <w:pPr>
        <w:spacing w:after="0" w:line="2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granted 60,207 PSUs to our officers and other employees, subject to performance and service conditions. For both periods, the PSUs granted to officers generally vest in a single installment three years from the date of grant, while the PSUs granted to other employees vest in three equal tranches each year after the grant date.</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we granted an aggregate of 99,025 and 72,289 RSUs, respectively, to our officers, other employees, and nonemployee directors with only service conditions. The RSUs granted to officers and other employees vest in three equal tranches each year after the grant date. The RSUs granted to nonemployee directors vest in a single installment after a one year period.</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based the fair value of PSU and RSU awards on the closing market price of our common stock on the grant date. During the six months ended June 30, 2025 and 2024, the total fair value of PSUs and RSUs vested was $15.8 million and $34.0 million, respectively.</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activity of our PSUs and RSUs awarded under our incentive plan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6"/>
                <w:szCs w:val="16"/>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adjustment (a)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243,370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57" w:lineRule="exact"/>
        <w:rPr>
          <w:sz w:val="20"/>
          <w:szCs w:val="20"/>
          <w:color w:val="auto"/>
        </w:rPr>
      </w:pPr>
    </w:p>
    <w:p>
      <w:pPr>
        <w:ind w:left="660" w:right="20" w:hanging="571"/>
        <w:spacing w:after="0" w:line="263" w:lineRule="auto"/>
        <w:tabs>
          <w:tab w:leader="none" w:pos="4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total PSUs forfeited during the six months ended June 30, 2025, related to below-target achievement of the 2024 performance condition on awards granted to other employees in 2024. During the 2024 performance period, other employees earned 90% of the target based on Boise Cascade's 2024 EBITDA, determined by executive management, in accordance with the related grant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254"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record compensation expense over the awards' vesting period and account for share-based award forfeitures as they occur, rather than making estimates of future forfeitures. Any shares not vested are forfeited. We recognize compensation expense for stock awards with only service conditions on a straight-line basis over the requisite service period. Most of our stock-based compensation expense was recorded in "General and administrative expenses" in our Consolidated Statements of Operations. Total stock-based compensation recognized from PSUs and RSUs, net of forfeitures,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5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225"/>
        </w:trPr>
        <w:tc>
          <w:tcPr>
            <w:tcW w:w="49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related tax benefit for the six months ended June 30, 2025 and 2024, was $1.9 million and $2.0 million, respectively. As of June 30, 2025, total unrecognized compensation expense related to nonvested share-based compensation arrangements was $24.6 million. This expense is expected to be recognized over a weighted-average period of 2.0 years.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9.</w:t>
      </w:r>
      <w:r>
        <w:rPr>
          <w:sz w:val="20"/>
          <w:szCs w:val="20"/>
          <w:color w:val="auto"/>
        </w:rPr>
        <w:tab/>
      </w:r>
      <w:r>
        <w:rPr>
          <w:rFonts w:ascii="Times New Roman" w:cs="Times New Roman" w:eastAsia="Times New Roman" w:hAnsi="Times New Roman"/>
          <w:sz w:val="17"/>
          <w:szCs w:val="17"/>
          <w:b w:val="1"/>
          <w:bCs w:val="1"/>
          <w:i w:val="1"/>
          <w:iCs w:val="1"/>
          <w:color w:val="auto"/>
        </w:rPr>
        <w:t>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November 14, 2017, we announced that our board of directors approved a dividend policy to pay quarterly cash dividends to holders of our common stock. For more information regarding our dividend declarations and payments made during each of the six months ended June 30, 2025 and 2024, see "Common stock dividends" on our Consolidated Statements of Stockholders' Equity.</w:t>
      </w:r>
    </w:p>
    <w:p>
      <w:pPr>
        <w:spacing w:after="0" w:line="20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July 31, 2025, our board of directors declared a quarterly dividend of $0.22 per share on our common stock, payable on September 17, 2025, to stockholders of record on September 2, 2025. For a description of the restrictions in our revolving credit facility and the indenture governing our senior notes on our ability to pay dividends, see Note 6, Debt.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Future dividend declarations, including amount per share, record date and payment date, will be made at the discretion of our board of directors and will depend upon, among other things, legal capital requirements and surplus, our future operations and earnings, general financial condition, material cash requirements, restrictions imposed by our revolving credit facility and the indenture governing our senior notes, applicable laws, and other factors that our board of directors may deem relevant.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30, 2024, our board of directors authorized the repurchase of an additional 1.4 million shares of our common stock. This is the most recent authorization under our common stock repurchase program that was authorized on February 25, 2015 (the Program). Share repurchases may be made on an opportunistic basis, through open market transactions, privately negotiated transactions, or by other means in accordance with applicable federal securities laws. We are not obligated to purchase any shares and there is no set date that the Program will expire. Our board of directors may increase or decrease the number of shares under the Program or terminate the Program in its discretion at any time.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we repurchased 837,352 shares under the Program at a cost of $86.0 million, or an average of $102.72 per share. During the six months ended June 30, 2024, we repurchased 677,845 shares under the Program at a cost of $88.9 million, or an average of $131.09 per share. The shares were purchased with cash on hand and are recorded as "Treasury stock" on our Consolidated Balance Sheets. As of June 30, 2025, there were 970,864 shares of common stock that may yet be purchased under the Program.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July 2025, we repurchased 117,000 shares under the Program at a cost of approximately $10 million, or an average of $88.38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these share repurchases, there were approximately 850,000 shares of common stock that may yet be purchased under the Program.</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10.</w:t>
      </w:r>
      <w:r>
        <w:rPr>
          <w:sz w:val="20"/>
          <w:szCs w:val="20"/>
          <w:color w:val="auto"/>
        </w:rPr>
        <w:tab/>
      </w:r>
      <w:r>
        <w:rPr>
          <w:rFonts w:ascii="Times New Roman" w:cs="Times New Roman" w:eastAsia="Times New Roman" w:hAnsi="Times New Roman"/>
          <w:sz w:val="17"/>
          <w:szCs w:val="17"/>
          <w:b w:val="1"/>
          <w:bCs w:val="1"/>
          <w:i w:val="1"/>
          <w:iCs w:val="1"/>
          <w:color w:val="auto"/>
        </w:rPr>
        <w:t>Transactions With Related Party</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Louisiana Timber Procurement Company, L.L.C. (LTP) is an unconsolidated variable-interest entity that is 50% owned by us and 50% owned by Packaging Corporation of America (PCA). LTP procures sawtimber, pulpwood, residual chips, and other residual wood fiber to meet the wood and fiber requirements of us and PCA in Louisiana. We are not the primary beneficiary of LTP as we do not have power to direct the activities that most significantly affect the economic performance of LTP. Accordingly, we do not consolidate LTP's results in our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Related-party sales to LTP from our Wood Products segment in our Consolidated Statements of Operations were $2.2 million and $3.1 million, respectively, during the three months ended June 30, 2025 and 2024, and $3.8 million and $5.7 million, respectively, during the six months ended June 30, 2025 and 2024. These sales are recorded in "Sales" in our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5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Related-party wood fiber purchases from LTP were $17.9 million and $21.3 million, respectively, during the three months ended June 30, 2025 and 2024, and $32.8 million and $41.1 million, respectively, during the six months ended June 30, 2025 and 2024. These costs are recorded in "Materials, labor, and other operating expenses (excluding depreciation)"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using two reportable segments: Wood Products and BMD. There are no differences in our basis of measurement of segment profit or loss from those disclosed in Note 15, Segment Information, of the Notes to Consolidated Financial Statements in "Item 8. Financial Statements and Supplementary Data" in our 2024 Form 10-K.</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Wood Products and BMD segment sales to external customers, including related parties, by product line,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26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4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Wood Products (a)</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LVL (b)</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I-joists (b)</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engineered wood products (b)</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Plywood and veneer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Lumber</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Byproducts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4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50"/>
        </w:trPr>
        <w:tc>
          <w:tcPr>
            <w:tcW w:w="4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Building Materials Distribution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line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Engineered wood products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23"/>
        </w:trPr>
        <w:tc>
          <w:tcPr>
            <w:tcW w:w="4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w:t>
            </w:r>
          </w:p>
        </w:tc>
      </w:tr>
      <w:tr>
        <w:trPr>
          <w:trHeight w:val="223"/>
        </w:trPr>
        <w:tc>
          <w:tcPr>
            <w:tcW w:w="46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3,276.6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3,443.1</w:t>
            </w:r>
          </w:p>
        </w:tc>
      </w:tr>
      <w:tr>
        <w:trPr>
          <w:trHeight w:val="21"/>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5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sales to external customers. Sales are calculated after intersegment sales eliminations to our BMD segment.</w:t>
      </w:r>
    </w:p>
    <w:p>
      <w:pPr>
        <w:spacing w:after="0" w:line="248" w:lineRule="exact"/>
        <w:rPr>
          <w:rFonts w:ascii="Times New Roman" w:cs="Times New Roman" w:eastAsia="Times New Roman" w:hAnsi="Times New Roman"/>
          <w:sz w:val="16"/>
          <w:szCs w:val="16"/>
          <w:color w:val="auto"/>
        </w:rPr>
      </w:pPr>
    </w:p>
    <w:p>
      <w:pPr>
        <w:ind w:left="660" w:hanging="652"/>
        <w:spacing w:after="0" w:line="273" w:lineRule="auto"/>
        <w:tabs>
          <w:tab w:leader="none" w:pos="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Sales of EWP to external customers are net of the cost of all EWP rebates and sales allowances provided at various stages of the supply chain (including distributors, dealers, and homebuilders). For the six months ended June 30, 2025 and 2024, approximately 74% and </w:t>
      </w:r>
      <w:r>
        <w:rPr>
          <w:rFonts w:ascii="Times New Roman" w:cs="Times New Roman" w:eastAsia="Times New Roman" w:hAnsi="Times New Roman"/>
          <w:sz w:val="17"/>
          <w:szCs w:val="17"/>
          <w:color w:val="auto"/>
        </w:rPr>
        <w:t>77%</w:t>
      </w:r>
      <w:r>
        <w:rPr>
          <w:rFonts w:ascii="Times New Roman" w:cs="Times New Roman" w:eastAsia="Times New Roman" w:hAnsi="Times New Roman"/>
          <w:sz w:val="16"/>
          <w:szCs w:val="16"/>
          <w:color w:val="auto"/>
        </w:rPr>
        <w:t>, respectively, of Wood Products' EWP sales volumes were to our BMD segment.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analysis of our operations by segment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26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Wood Products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447,235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489,823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863,080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958,751</w:t>
            </w:r>
          </w:p>
        </w:tc>
      </w:tr>
      <w:tr>
        <w:trPr>
          <w:trHeight w:val="257"/>
        </w:trPr>
        <w:tc>
          <w:tcPr>
            <w:tcW w:w="4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6"/>
        </w:trPr>
        <w:tc>
          <w:tcPr>
            <w:tcW w:w="4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Materials, labor, and other operating expenses (excluding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398,451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760,697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736,641</w:t>
            </w: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segment items (b)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46,654</w:t>
            </w:r>
          </w:p>
        </w:tc>
      </w:tr>
      <w:tr>
        <w:trPr>
          <w:trHeight w:val="223"/>
        </w:trPr>
        <w:tc>
          <w:tcPr>
            <w:tcW w:w="4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433,259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814,733</w:t>
            </w:r>
          </w:p>
        </w:tc>
      </w:tr>
      <w:tr>
        <w:trPr>
          <w:trHeight w:val="237"/>
        </w:trPr>
        <w:tc>
          <w:tcPr>
            <w:tcW w:w="46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144,018</w:t>
            </w:r>
          </w:p>
        </w:tc>
      </w:tr>
      <w:tr>
        <w:trPr>
          <w:trHeight w:val="237"/>
        </w:trPr>
        <w:tc>
          <w:tcPr>
            <w:tcW w:w="4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Building Materials Distribution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3,160,242</w:t>
            </w:r>
          </w:p>
        </w:tc>
      </w:tr>
      <w:tr>
        <w:trPr>
          <w:trHeight w:val="256"/>
        </w:trPr>
        <w:tc>
          <w:tcPr>
            <w:tcW w:w="4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4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Materials, labor, and other operating expenses (excluding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2,687,931</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272,330</w:t>
            </w: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segment items (b)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r>
      <w:tr>
        <w:trPr>
          <w:trHeight w:val="223"/>
        </w:trPr>
        <w:tc>
          <w:tcPr>
            <w:tcW w:w="4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2,895,581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3,002,379</w:t>
            </w:r>
          </w:p>
        </w:tc>
      </w:tr>
      <w:tr>
        <w:trPr>
          <w:trHeight w:val="237"/>
        </w:trPr>
        <w:tc>
          <w:tcPr>
            <w:tcW w:w="46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157,863</w:t>
            </w:r>
          </w:p>
        </w:tc>
      </w:tr>
      <w:tr>
        <w:trPr>
          <w:trHeight w:val="237"/>
        </w:trPr>
        <w:tc>
          <w:tcPr>
            <w:tcW w:w="4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sales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 Products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958,751</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Materials Distribution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1,655,221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3,022,031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3,160,242</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 (c)</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(675,903)</w:t>
            </w:r>
          </w:p>
        </w:tc>
      </w:tr>
      <w:tr>
        <w:trPr>
          <w:trHeight w:val="22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1,740,114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1,797,670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3,276,608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3,443,090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income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 Products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144,018</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Materials Distribution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157,863</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costs (d)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w:t>
            </w:r>
          </w:p>
        </w:tc>
      </w:tr>
      <w:tr>
        <w:trPr>
          <w:trHeight w:val="223"/>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279,963</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unallocated items (e)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80,596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150,791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287,744</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57" w:lineRule="exact"/>
        <w:rPr>
          <w:sz w:val="20"/>
          <w:szCs w:val="20"/>
          <w:color w:val="auto"/>
        </w:rPr>
      </w:pPr>
    </w:p>
    <w:p>
      <w:pPr>
        <w:ind w:left="660" w:hanging="652"/>
        <w:spacing w:after="0" w:line="298" w:lineRule="auto"/>
        <w:tabs>
          <w:tab w:leader="none" w:pos="35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"Materials, labor, and other operating expenses (excluding depreciation)" for our Wood Products segment are the costs associated with Wood Products' manufacturing processes, including wood fiber, labor, glues and resins, energy, operating supplies,</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440"/>
        <w:spacing w:after="0" w:line="280" w:lineRule="auto"/>
        <w:rPr>
          <w:sz w:val="20"/>
          <w:szCs w:val="20"/>
          <w:color w:val="auto"/>
        </w:rPr>
      </w:pPr>
      <w:r>
        <w:rPr>
          <w:rFonts w:ascii="Times New Roman" w:cs="Times New Roman" w:eastAsia="Times New Roman" w:hAnsi="Times New Roman"/>
          <w:sz w:val="16"/>
          <w:szCs w:val="16"/>
          <w:color w:val="auto"/>
        </w:rPr>
        <w:t>maintenance materials, freight, and other manufacturing costs. Substantially all costs included in "Materials, labor, and other operating expenses (excluding depreciation)" for our BMD segment are for inventory purchased for resale.</w:t>
      </w:r>
    </w:p>
    <w:p>
      <w:pPr>
        <w:spacing w:after="0" w:line="205" w:lineRule="exact"/>
        <w:rPr>
          <w:sz w:val="20"/>
          <w:szCs w:val="20"/>
          <w:color w:val="auto"/>
        </w:rPr>
      </w:pPr>
    </w:p>
    <w:p>
      <w:pPr>
        <w:ind w:left="660" w:right="300" w:hanging="652"/>
        <w:spacing w:after="0" w:line="280" w:lineRule="auto"/>
        <w:tabs>
          <w:tab w:leader="none" w:pos="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our Wood Products segment includes selling and distribution expenses, general and administrative expenses, and other income (expense). Other segment items for our BMD segment includes general and administrative expenses and other income (expense).</w:t>
      </w:r>
    </w:p>
    <w:p>
      <w:pPr>
        <w:spacing w:after="0" w:line="20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intersegment sales from our Wood Products segment to our BMD segment.</w:t>
      </w:r>
    </w:p>
    <w:p>
      <w:pPr>
        <w:spacing w:after="0" w:line="248" w:lineRule="exact"/>
        <w:rPr>
          <w:rFonts w:ascii="Times New Roman" w:cs="Times New Roman" w:eastAsia="Times New Roman" w:hAnsi="Times New Roman"/>
          <w:sz w:val="16"/>
          <w:szCs w:val="16"/>
          <w:color w:val="auto"/>
        </w:rPr>
      </w:pPr>
    </w:p>
    <w:p>
      <w:pPr>
        <w:ind w:left="660" w:right="340" w:hanging="652"/>
        <w:spacing w:after="0" w:line="280" w:lineRule="auto"/>
        <w:tabs>
          <w:tab w:leader="none" w:pos="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corporate costs include corporate support staff services, and related assets and liabilities. Support services include, but are not limited to, information technology, human resources, finance, accounting, and legal functions.</w:t>
      </w:r>
    </w:p>
    <w:p>
      <w:pPr>
        <w:spacing w:after="0" w:line="20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unallocated items include foreign exchange gains and losses, pension expense (excluding service costs) and the change in fair value of interest rate swaps.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Products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1,145,555</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Materials Distribution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1,524,214</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699,614</w:t>
            </w:r>
          </w:p>
        </w:tc>
      </w:tr>
      <w:tr>
        <w:trPr>
          <w:trHeight w:val="248"/>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3,369,383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7"/>
                <w:szCs w:val="17"/>
                <w:color w:val="auto"/>
              </w:rPr>
            </w:pPr>
          </w:p>
        </w:tc>
        <w:tc>
          <w:tcPr>
            <w:tcW w:w="24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4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Products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37,447</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Materials Distribution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74,099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Commitments, Legal Proceedings and Contingencies, and Guarantees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a party to a number of long-term log supply agreements that are discussed in Note 16, Commitments, Legal Proceedings and Contingencies, and Guarantees, of the Notes to Consolidated Financial Statements in "Item 8. Financial Statements and Supplementary Data" in our 2024 Form 10-K. In addition, we have purchase obligations for goods and services, capital expenditures, and raw materials entered into in the normal course of business. As of June 30, 2025, there have been no material changes to the above commitments disclosed in the 2024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 party to legal proceedings that arise in the ordinary course of our business, including commercial liability claims, premises claims, environmental claims, and employment-related claims, among others. As of the date of this filing, we do not believe that we are party to any legal action that could reasonably be expected to have, individually or in the aggregate,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provide guarantees, indemnifications, and assurances to others. Note 16, Commitments, Legal Proceedings and Contingencies, and Guarantees, of the Notes to Consolidated Financial Statements in "Item 8. Financial Statements and Supplementary Data" in our 2024 Form 10-K describes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June 30, 2025, there have been no material changes to the guarantees disclosed in the 2024 Form 10-K.</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i w:val="1"/>
          <w:i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Understanding Our Financial Information</w:t>
      </w:r>
    </w:p>
    <w:p>
      <w:pPr>
        <w:spacing w:after="0" w:line="2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related notes in "Item 1. Financial Statements" of this Form 10-Q, as well as our 2024 Form 10-K. The following discussion includes statements regarding our expectations with respect to our future performance, liquidity, and capital resources. Such statements, along with any other non-historical statements in the discussion, are forward-looking. These forward-looking statements include, without limitation, any statement that may predict, indicate, or imply future results, performance, or achievements and may contain the words "may," "will," "expect," "believe," "should," "plan," "anticipate," and other similar expressions. All of these forward-looking statements are based on estimates and assumptions made by our management that, although believed by us to be reasonable, are inherently uncertain. These forward-looking statements are subject to numerous risks and uncertainties, including, but not limited to, the risks and uncertainties described in "Item 1A. Risk Factors" in our 2024 Form 10-K, as well as those factors listed in other documents we file with the Securities and Exchange Commission (the SEC). We do not assume an obligation to update any forward-looking statement. Our future actual results may differ materially from those contained in or implied by any of the forward-looking statements in this Form 10-Q.</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54"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18"/>
          <w:szCs w:val="18"/>
          <w:color w:val="auto"/>
        </w:rPr>
        <w:t>Boise Cascade Company is a building products company headquartered in Boise, Idaho. As used in this Form 10-Q, the terms "Boise Cascade," "we," and "our" refer to Boise Cascade Company and its consolidated subsidiaries. Boise Cascade is a large, integrated wood products manufacturer and building materials distributor. We have two reportable segments: (i) Wood Products, which primarily manufactures engineered wood products (EWP) and plywood; and (ii) Building Materials Distribution (BMD), which is a wholesale distributor of building materials. Our products are used in the construction of new residential housing, including single-family, multi-family, and manufactured homes, the repair-and-remodeling of existing housing, the construction of light industrial and commercial buildings, and industrial applications. For more information, see Note 11, Segment Information, of the Condensed Notes to Unaudited Quarterly Consolidated Financial Statements in "Item 1. Financial Statements" of this Form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Overview</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income from operations of $80.5 million during the three months ended June 30, 2025, compared with income from operations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$147.0 million during the three months ended June 30, 2024. In our Wood Products segment, income decreased $58.8 million to $14.0 million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from $72.8 million for the three months ended June 30, 2024, due to lower EWP and plywood sales prices, as well as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per-unit conversion costs primarily as a result of downtime to complete the modernization projects at our Oakdale, Louisiana veneer and plywood mill.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lower plywood sales volumes and an unfavorable profit in inventory adjustment contributed to the decrease in segment income. These decreases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segment income were offset partially by a $3.9 million gain on the sale of a non-operating property. In our BMD segment, income decreased $7.4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to $78.0 million for the three months ended June 30, 2025, from $85.4 million for the three months ended June 30, 2024, driven by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distribution expenses and depreciation and amortization expense of $12.1 million and $2.1 million, respectively. These decreases to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were offset partially by a gross margin increase of $3.4 million, resulting primarily from increased margins on general line products, which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partially by decreased margins on commodity and EWP products. Segment income also benefited from a $3.8 million gain on the sale of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property. These changes are discussed further in "Our Operating Results" below.</w:t>
      </w:r>
    </w:p>
    <w:p>
      <w:pPr>
        <w:spacing w:after="0" w:line="234"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We ended second quarter 2025 with $481.0 million of cash and cash equivalents and $395.2 million of undrawn committed bank line availability, for total available liquidity of $876.2 million. We had $450.0 million of outstanding debt at June 30, 2025. We used $232.2 million of cash during the six months ended June 30, 2025, to fund seasonal working capital increases, capital spending, treasury stock purchases, and dividends paid on our common stock. A further description of our cash sources and uses for the six-month comparative periods are discussed in "Liquidity and Capital Resources" below.</w:t>
      </w:r>
    </w:p>
    <w:p>
      <w:pPr>
        <w:spacing w:after="0" w:line="19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Demand for the products we manufacture, as well as the products we purchase and distribute, is closely tied to new residential construction, residential repair-and-remodeling activity, and light commercial construction. Residential construction, particularly new single-family construction, remains a key driver of demand for the products we manufacture and distribute. During the past quarter, the operating environment reflected adjustments by large public homebuilders, who moderated their building pace to align with a demand environment shaped by affordability considerations, cautious consumer sentiment, and broader economic conditions. Evolving market conditions have led to reduced home turnover and households delaying big projects impacting repair-and-remodeling spending. Near-term end market demand has eased and will continue to be influenced by factors such as mortgage rates, home affordability, home equity levels, home sizes, new and existing home inventory levels, unemployment rates, and consumer confidence. However, long-term demand drivers for residential construction, including an undersupply of housing units, aging U.S. housing stock, and elevated levels of homeowner equity, remain strong and continue to support the industry’s fundamentals.</w:t>
      </w:r>
    </w:p>
    <w:p>
      <w:pPr>
        <w:spacing w:after="0" w:line="21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manufacturer of plywood, a commodity product, we remain subject to fluctuations in product pricing and input costs. Our distribution business, which purchases and resells a diverse range of products, experiences opportunities for increased sales and margins during periods of rising prices, while periods of declining prices may present challenges. Future product pricing, particularly for commodity products, is expected to remain dynamic, influenced by economic conditions, industry operating rates, supply disruptions, duties, tariffs, transportation constraints, inventory levels, and seasonal demand patterns. For the balance of 2025, our rates of production and inventory stocking positions, will be influenced by end market demand signals and channel inventory decisions of our customer base.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That Affect Our Operating Results and Trends</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results of operations and financial performance are influenced by a variety of factors, including the following:</w:t>
      </w:r>
    </w:p>
    <w:p>
      <w:pPr>
        <w:spacing w:after="0" w:line="252" w:lineRule="exact"/>
        <w:rPr>
          <w:sz w:val="20"/>
          <w:szCs w:val="20"/>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portion of our products and their price movements, which are driven largely by general economic conditions, industry capacity and operating rates, industry cycles that affect supply and demand, and net import and export activity;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our industry;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demand for our products due to competing technologies or materials, as well as changes in building code provisions;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information systems used to process and store customer, employee, and vendor information, as well as the technology that manages our operations and other business processes;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disruptions and/or major equipment failure at our manufacturing facilities;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demand for residual byproducts, particularly wood chips generated in our manufacturing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shortages of skilled and technical labor, or increased labor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formulate and implement succession plans for key members of our management team;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shortages, loss of key suppliers, and our dependence on third-party suppliers and manufacturers;</w:t>
      </w:r>
    </w:p>
    <w:p>
      <w:pPr>
        <w:spacing w:after="0" w:line="252"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third-party transportation services used to deliver the goods we manufacture and distribute, as well as our raw materials;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availability of raw materials, including wood fiber and glues and resins;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organic growth and acquisition strategies efficiently and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with new or existing technology systems and software platforms;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our long-term growth strategy related to innovation and digital technology;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our sales among a relatively small group of customers, as well as the financial condition and creditworthiness of our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long-lived assets, goodwill, and/or intangible assets;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ongoing capital investment costs, including those associated with organic growth and acquisitions, and the difficulty in offsetting fixed costs related to those investments;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the possibility that we may not generate sufficient cash flows from operations or that future borrowings may not be available in amounts sufficient to fulfill our debt obligations and fund other liquidity needs;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contained in our debt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policy, including the imposition of tariffs;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and security laws and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and related legislative and regulatory responses intended to reduce climate 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compliance with government regulations, in particular, environmental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product liability, product warranty, casualty, construction defect, and other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for our equity;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"Item 1A. Risk Factors" in our 2024 Form 10-K.</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Operating Results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in dollars and as a percentage of sales for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7"/>
                <w:szCs w:val="17"/>
                <w:color w:val="auto"/>
              </w:rPr>
            </w:pPr>
          </w:p>
        </w:tc>
      </w:tr>
      <w:tr>
        <w:trPr>
          <w:trHeight w:val="238"/>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80" w:type="dxa"/>
            <w:vAlign w:val="bottom"/>
            <w:shd w:val="clear" w:color="auto" w:fill="CCEEFF"/>
          </w:tcPr>
          <w:p>
            <w:pPr>
              <w:spacing w:after="0"/>
              <w:rPr>
                <w:sz w:val="19"/>
                <w:szCs w:val="19"/>
                <w:color w:val="auto"/>
              </w:rPr>
            </w:pP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84"/>
        </w:trPr>
        <w:tc>
          <w:tcPr>
            <w:tcW w:w="4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Materials, labor, and other operating expenses (excluding</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180" w:type="dxa"/>
            <w:vAlign w:val="bottom"/>
          </w:tcPr>
          <w:p>
            <w:pPr>
              <w:spacing w:after="0"/>
              <w:rPr>
                <w:sz w:val="20"/>
                <w:szCs w:val="20"/>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CEEFF"/>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8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shd w:val="clear" w:color="auto" w:fill="CCEEFF"/>
          </w:tcPr>
          <w:p>
            <w:pPr>
              <w:spacing w:after="0"/>
              <w:rPr>
                <w:sz w:val="19"/>
                <w:szCs w:val="19"/>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tcPr>
          <w:p>
            <w:pPr>
              <w:spacing w:after="0"/>
              <w:rPr>
                <w:sz w:val="19"/>
                <w:szCs w:val="19"/>
                <w:color w:val="auto"/>
              </w:rPr>
            </w:pPr>
          </w:p>
        </w:tc>
      </w:tr>
      <w:tr>
        <w:trPr>
          <w:trHeight w:val="223"/>
        </w:trPr>
        <w:tc>
          <w:tcPr>
            <w:tcW w:w="46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80" w:type="dxa"/>
            <w:vAlign w:val="bottom"/>
            <w:tcBorders>
              <w:bottom w:val="single" w:sz="8" w:color="auto"/>
            </w:tcBorders>
            <w:shd w:val="clear" w:color="auto" w:fill="CCEEFF"/>
          </w:tcPr>
          <w:p>
            <w:pPr>
              <w:spacing w:after="0"/>
              <w:rPr>
                <w:sz w:val="19"/>
                <w:szCs w:val="19"/>
                <w:color w:val="auto"/>
              </w:rPr>
            </w:pPr>
          </w:p>
        </w:tc>
      </w:tr>
      <w:tr>
        <w:trPr>
          <w:trHeight w:val="250"/>
        </w:trPr>
        <w:tc>
          <w:tcPr>
            <w:tcW w:w="4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180" w:type="dxa"/>
            <w:vAlign w:val="bottom"/>
            <w:shd w:val="clear" w:color="auto" w:fill="CCEEFF"/>
          </w:tcPr>
          <w:p>
            <w:pPr>
              <w:spacing w:after="0"/>
              <w:rPr>
                <w:sz w:val="21"/>
                <w:szCs w:val="2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(percentage of sales)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0"/>
        </w:trPr>
        <w:tc>
          <w:tcPr>
            <w:tcW w:w="4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4"/>
        </w:trPr>
        <w:tc>
          <w:tcPr>
            <w:tcW w:w="4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Materials, labor, and other operating expenses (excluding</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0"/>
        </w:trPr>
        <w:tc>
          <w:tcPr>
            <w:tcW w:w="4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Volumes and Prices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are historical U.S. housing starts data, segment sales volumes and average net selling prices for the principal products sold by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 Products segment, and sales mix and gross margin information for our BMD segment for the three and six months ended June 30, 2025 and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26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5"/>
        </w:trPr>
        <w:tc>
          <w:tcPr>
            <w:tcW w:w="4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Housing Starts (a)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Single-family</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522.2</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4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366.7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370.3</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684.6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691.6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Sales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Products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447,235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489,823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863,080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958,751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Materials Distribution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1,614,915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1,655,221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3,022,031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3,160,242</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(322,036)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(347,374)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(608,503)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(675,903)</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sales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1,740,114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1,797,670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3,276,608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3,443,090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Wood Products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Volumes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Laminated veneer lumber (LVL) (cubic feet)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I-joists (equivalent lineal feet)</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Plywood (sq. ft.) (3/8" basis)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755</w:t>
            </w:r>
          </w:p>
        </w:tc>
      </w:tr>
      <w:tr>
        <w:trPr>
          <w:trHeight w:val="270"/>
        </w:trPr>
        <w:tc>
          <w:tcPr>
            <w:tcW w:w="4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Wood Products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(dollars per unit)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Average Net Selling Prices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Laminated veneer lumber (LVL) (cubic foot)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I-joists (1,000 equivalent lineal feet)</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1,987</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Plywood (1,000 sq. ft.) (3/8" basis)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r>
      <w:tr>
        <w:trPr>
          <w:trHeight w:val="270"/>
        </w:trPr>
        <w:tc>
          <w:tcPr>
            <w:tcW w:w="4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2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(percentage of BMD sales)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Building Materials Distribution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Line Sales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line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wood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70"/>
        </w:trPr>
        <w:tc>
          <w:tcPr>
            <w:tcW w:w="4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percentage (b)</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9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U.S. housing starts data as reported by the U.S. Census Bureau.</w:t>
      </w:r>
    </w:p>
    <w:p>
      <w:pPr>
        <w:spacing w:after="0" w:line="261" w:lineRule="exact"/>
        <w:rPr>
          <w:rFonts w:ascii="Times New Roman" w:cs="Times New Roman" w:eastAsia="Times New Roman" w:hAnsi="Times New Roman"/>
          <w:sz w:val="16"/>
          <w:szCs w:val="16"/>
          <w:color w:val="auto"/>
        </w:rPr>
      </w:pPr>
    </w:p>
    <w:p>
      <w:pPr>
        <w:ind w:left="660" w:right="40" w:hanging="652"/>
        <w:spacing w:after="0" w:line="263" w:lineRule="auto"/>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2025, total sales decreased $57.6 million, or 3%, to $1,740.1 million from $1,797.7 million during the three months ended June 30, 2024. For the six months ended June 30, 2025, total sales decreased $166.5 million, or 5%, to $3,276.6 million from $3,443.1 million for the same period in the prior year. As described below, the decrease in sales in both periods was driven by the changes in sales prices and volumes for the products we manufacture and distribute, with single-family residential construction activity being the key demand driver of our sales. In second quarter 2025, total U.S. housing starts and single-family housing starts decreased 1% and 8%, respectively, compared with the same period in 2024. On a year-to-date basis through June 2025, total and single-family housing starts decreased 1% and 7%, respectively, compared with the same period in 2024. Average composite panel prices for the three and six months ended June 30, 2025 were 19% and 16% lower, respectively, than in the same periods in the prior year, as reflected by Random Lengths composite panel pricing. Average composite lumber prices for the three and six months ended June 30, 2025 were 18% and 15% higher, respectively, than in the same periods in the prior year, as reflected by Random Lengths composite lumber pricing.</w:t>
      </w:r>
    </w:p>
    <w:p>
      <w:pPr>
        <w:spacing w:after="0" w:line="20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Wood Products. </w:t>
      </w:r>
      <w:r>
        <w:rPr>
          <w:rFonts w:ascii="Times New Roman" w:cs="Times New Roman" w:eastAsia="Times New Roman" w:hAnsi="Times New Roman"/>
          <w:sz w:val="18"/>
          <w:szCs w:val="18"/>
          <w:color w:val="auto"/>
        </w:rPr>
        <w:t>Sales, including sales to our BMD segment, decreased $42.6 million, or 9%, to $447.2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from $489.8 million for the three months ended June 30, 2024. The decrease in sales was driven by lower sales prices for LVL and I-joists (collectively referred to as EWP) of 10% and 8%, respectively, resulting in decreased sales of $15.8 million and $10.0 million, respectively. Plywood sales volumes and sales prices decreased 7% and 6%, respectively, resulting in decreased sales of $9.9 million and $7.1 million, respectively. In addition, sales volumes for I-joists decreased 5%, resulting in decreased sales of $6.5 million. These decreases were offset partially by increased sales volumes for LVL of 8%, resulting in increased sales of $10.8 million.</w:t>
      </w:r>
    </w:p>
    <w:p>
      <w:pPr>
        <w:spacing w:after="0" w:line="21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color w:val="auto"/>
        </w:rPr>
        <w:t>For the six months ended June 30, 2025, sales, including sales to our BMD segment, decreased $95.7 million, or 10%, to $863.1 million from $958.8 million for the same period in the prior year. The decrease in sales was driven by lower sales prices for LVL and I-joists of 10% and 9%, respectively, resulting in decreased sales of $28.2 million and $20.1 million, respectively. Plywood sales prices and sales volumes decreased 8% and 5%, respectively, resulting in decreased sales of $20.3 million and $13.4 million, respectively. In addition, sales volumes for I-joists decreased 4%, resulting in decreased sales of $10.3 million. These decreases were offset partially by increased sales volumes for LVL of 2%, resulting in increased sales of $6.3 million.</w:t>
      </w:r>
    </w:p>
    <w:p>
      <w:pPr>
        <w:spacing w:after="0" w:line="21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For both periods described above, I-joist sales volumes were influenced by multiple factors, including the level of housing starts, competition from other wood-based products, and concrete floor applications that limit wood floor opportunity. LVL sales volumes expanded their presence in the marketplace through growth with dealers and homebuilders when compared to the same periods in 2024. In addition, plywood sales volumes in both periods were impacted by planned downtime to complete projects at our Oakdale and Kettle Falls plywood mills.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Building Materials Distribution. </w:t>
      </w:r>
      <w:r>
        <w:rPr>
          <w:rFonts w:ascii="Times New Roman" w:cs="Times New Roman" w:eastAsia="Times New Roman" w:hAnsi="Times New Roman"/>
          <w:sz w:val="18"/>
          <w:szCs w:val="18"/>
          <w:color w:val="auto"/>
        </w:rPr>
        <w:t>Sales decreased $40.3 million, or 2%, to $1,614.9 million for the three months ended June 30, 2025,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$1,655.2 million for the three months ended June 30, 2024. Compared with the same quarter in the prior year, the overall decrease in sales was driven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price decrease of 2%, as sales volumes were flat. By product line, commodity sales decreased 5%, or $27.0 million; general line product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4%, or $31.2 million; and EWP sales (substantially all of which are sourced through our Wood Products segment) decreased 12%, or $44.5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sales decreased $138.2 million, or 4%, to $3,022.0 million from $3,160.2 million for the same period in the prior year. The overall decrease in sales was driven by decreases of 2% for both sales prices and sales volumes. By product line, commodity sales decreased 6%, or $63.1 million; general line product sales increased 1%, or $14.0 million; and sales of EWP decreased 13%, or $89.1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Materials, labor, and other operating expenses (excluding depreciation) increased $0.8 million, or less than 1%, to $1,441.5 million for the three months ended June 30, 2025, compared with $1,440.7 million during the same period in the prior year. In our Wood Products segment, materials, labor, and other operating expenses increased due to purchases of externally produced veneer for our Alexandria EWP mill as a result of downtime to complete the modernization projects at our Oakdale veneer and plywood mill. In addition, labor and other manufacturing costs increased, offset partially by decreased sales volumes for plywood compared with second quarter 2024. Materials, labor, and other operating expenses as a percentage of sales (MLO rate) in our Wood Products segment increased by 1,170 basis points, primarily as the result of lower EWP and plywood sales prices, as well as lower sales volumes for I-joists and plywood which resulted in decreased leveraging of manufacturing costs. In BMD, the decrease in materials, labor, and other operating expenses was driven by lower purchased materials costs as a result of a decline in sales, as well as increased vendor rebates and allowances, compared with second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quarter 2024. The BMD segment MLO rate decreased 60 basis points, driven by higher margin percentages on general line products, offset partially by lower margins on commodity products.</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materials, labor, and other operating expenses (excluding depreciation) decreased $30.5 million, or 1%, to $2,717.6 million, compared with $2,748.1 million in the same period in the prior year. In our Wood Products segment, materials, labor, and other operating expenses increased due to purchases of externally produced veneer for our Alexandria EWP mill as a result of downtime to complete the modernization projects at our Oakdale veneer and plywood mill. Lumber input costs for solid-sawn I-joist and laminated beam production also increased. In addition, labor and other manufacturing costs increased, offset partially by decreased sales volumes for plywood and I-joists compared with the same period in the prior year. The MLO rate in our Wood Products segment increased by 1,130 basis points, due primarily to lower sales prices for EWP and plywood, as well as lower sales volumes for I-joists and plywood, which resulted in decreased leveraging of manufacturing costs. In BMD, the decrease in materials, labor, and other operating expenses was driven by lower purchased materials costs as a result of a decline in sales, as well as increased vendor rebates and allowances, compared with the first six months of 2024. The BMD segment MLO rate decreased 20 basis points, primarily due to higher margin percentages on our general line sales, offset partially by lower margins on our commodity sales compared with the first six months of 2024.</w:t>
      </w:r>
    </w:p>
    <w:p>
      <w:pPr>
        <w:spacing w:after="0" w:line="2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$3.0 million, or 9%, to $37.4 million for the three months ended June 30, 2025, compared with $34.4 million during the same period in the prior year. For the six months ended June 30, 2025, these expenses increased $4.3 million, or 6%, to $74.5 million, compared with $70.2 million in the same period in the prior year. The increase in both periods was primarily due to purchases of property and equipment. For the six months ended June 30, 2025, the increase was offset partially by $2.2 million of accelerated depreciation recorded in first quarter 2024 for the indefinite curtailment of lumber production at our Chapman, Alabama facility.</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Selling and distribution expenses increased $12.0 million, or 8%, to $161.8 million for the three months ended June 30, 2025, compared with $149.8 million during the same period in the prior year. The increase was due primarily to higher employee-related expenses of $6.9 million, offset partially by lower incentive compensation expense of $1.3 million. Additionally, costs related to shipping, handling, and professional fees increased by $2.5 million. For the six months ended June 30, 2025, selling and distribution expenses increased $11.6 million, or 4%, to $305.5 million, compared with $293.9 million during the same period in 2024. The increase was primarily a result of higher employee-related expenses of $10.0 million, offset partially by lower incentive compensation expense of $3.3 million. In addition, costs related to professional fees increased $1.9 million.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increased $0.5 million, or 2%, to $26.5 million for the three months ended June 30, 2025,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$25.9 million for the same period in the prior year. For the six months ended June 30, 2025, general and administrative expenses increased $0.4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$51.5 million, compared with $51.1 million during the same period in 2024. The increase in both periods was due primarily to higher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expenses and professional fees, offset partially by lower incentive compensation expense.</w:t>
      </w:r>
    </w:p>
    <w:p>
      <w:pPr>
        <w:spacing w:after="0" w:line="23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other (income) expense, net was $7.6 million and $7.5 million of income, respectively. For both periods, the income primarily relates to gains on the sale of non-operating properties in our Wood Products and BMD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5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$66.5 million to $80.5 million for the three months ended June 30, 2025, compared with $147.0 million for the three months ended June 30, 2024. Income from operations decreased $144.9 million to $135.0 million for the six months ended June 30, 2025, compared with $280.0 million for the six months ended June 30, 2024.</w:t>
      </w:r>
    </w:p>
    <w:p>
      <w:pPr>
        <w:spacing w:after="0" w:line="20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Wood Products. </w:t>
      </w:r>
      <w:r>
        <w:rPr>
          <w:rFonts w:ascii="Times New Roman" w:cs="Times New Roman" w:eastAsia="Times New Roman" w:hAnsi="Times New Roman"/>
          <w:sz w:val="18"/>
          <w:szCs w:val="18"/>
          <w:color w:val="auto"/>
        </w:rPr>
        <w:t>Segment income decreased $58.8 million to $14.0 million for the three months ended June 30, 2025, compared with $72.8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 decrease in segment income was due to lower EWP and plywood sales prices, as well as higher per-unit conversion costs primarily as a result of downtime to complete the modernization projects at our Oakdale, Louisiana veneer and plywood mill. In addition, lower plywood sales volumes and an unfavorable profit in inventory adjustment contributed to the decrease in segment income. These decreases in segment income were offset partially by a $3.9 million gain on the sale of a non-operating property.</w:t>
      </w:r>
    </w:p>
    <w:p>
      <w:pPr>
        <w:spacing w:after="0" w:line="21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segment income decreased $112.3 million to $31.7 million from $144.0 million for the six months ended June 30, 2024. The decrease in segment income was due to lower EWP and plywood sales prices, as well as higher per-unit conversion costs primarily as a result of downtime to complete the modernization projects 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Oakdale, Louisiana veneer and plywood mill. In addition, higher lumber input costs for solid-sawn I-joist and laminated beam production, as well as lower plywood and EWP sales volumes, contributed to the decrease in segment income. These decreases in segment income were offset partially by a $3.9 million gain on the sale of a non-operating property.</w:t>
      </w:r>
    </w:p>
    <w:p>
      <w:pPr>
        <w:spacing w:after="0" w:line="20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Building Materials Distribution. </w:t>
      </w:r>
      <w:r>
        <w:rPr>
          <w:rFonts w:ascii="Times New Roman" w:cs="Times New Roman" w:eastAsia="Times New Roman" w:hAnsi="Times New Roman"/>
          <w:sz w:val="18"/>
          <w:szCs w:val="18"/>
          <w:color w:val="auto"/>
        </w:rPr>
        <w:t>Segment income decreased $7.4 million to $78.0 million for the three months ended June 30, 2025, from $85.4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 decrease in segment income was driven by increased selling and distribution expenses and depreciation and amortization expense of $12.1 million and $2.1 million, respectively. These decreases to segment income were offset partially by a gross margin increase of $3.4 million, resulting primarily from increased margins on general line products, which were offset partially by decreased margins on commodity and EWP products. Additionally, segment income benefited from a $3.8 million gain on the sale of a non-operating property.</w:t>
      </w:r>
    </w:p>
    <w:p>
      <w:pPr>
        <w:spacing w:after="0" w:line="2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segment income decreased $31.4 million to $126.5 million from $157.9 million for the six months ended June 30, 2024. The decrease in segment income was driven by a gross margin decrease of $17.0 million, resulting primarily from lower sales volumes and decreased margins on commodity and EWP products. In addition, selling and distribution expenses and depreciation and amortization expense increased $11.6 million and $5.3 million, respectively. These decreases to segment income were offset partially by increased margins on general line products. Segment income also benefited from a $3.8 million gain on the sale of a non-operating property.</w:t>
      </w:r>
    </w:p>
    <w:p>
      <w:pPr>
        <w:spacing w:after="0" w:line="2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Unallocated corporate expenses increased $0.3 million to $11.5 million for the three months ended June 30, 2025, from $11.2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the prior year. For the six months ended June 30, 2025, unallocated corporate expenses increased $1.2 million to $23.1 million from $21.9 million for the six months ended June 30, 2024. The increase in both periods was due primarily to an increase in employee-related expenses and professional fees.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4"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$5.9 million to $4.6 million for the three months ended June 30, 2025, from $10.5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For the six months ended June 30, 2025, interest income decreased $11.0 million to $10.1 million from $21.1 million for the six months ended June 30, 2024. The decrease in both periods was due primarily to lower average balances of cash equivalents, as well as lower interest rates.</w:t>
      </w:r>
    </w:p>
    <w:p>
      <w:pPr>
        <w:spacing w:after="0" w:line="20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interest rate swaps. </w:t>
      </w:r>
      <w:r>
        <w:rPr>
          <w:rFonts w:ascii="Times New Roman" w:cs="Times New Roman" w:eastAsia="Times New Roman" w:hAnsi="Times New Roman"/>
          <w:sz w:val="18"/>
          <w:szCs w:val="18"/>
          <w:color w:val="auto"/>
        </w:rPr>
        <w:t>For information related to our interest rate swap, which expired in June 2025, see the discussion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Risk and Interest Rate Swap" of Note 2, Summary of Significant Accounting Policies, of the Condensed Notes to Unaudited Quarterly Consolidated Financial Statements in "Item 1. Financial Statements" of this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$18.6 million and $32.5 million, respectively, of income tax expense and had an effective rate of 23.1% and 24.1%, respectively. For the three and six months ended June 30, 2024, we recorded $38.5 million and $71.3 million, respectively, of income tax expense and had an effective rate of 25.5% and 24.8%, respectively. For all periods, the primary reason for the difference between the federal statutory income tax rate of 21% and the effective tax rate was the effect of state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Mergers and Acquisitions</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On July 1, 2025, James Hardie Industries plc (James Hardie) completed the acquisition of The AZEK Company Inc. (AZEK). James Hardie is a significant supplier to our BMD segment. In addition, AZEK produces products that compete with another significant supplier to us, Trex. We have good relationships with both James Hardie and Trex, but it is uncertain what impact, if any, this transaction may have on distribution arrangements with both companies. As such, we cannot assess the potential impact of this transaction to our future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ended second quarter 2025 with $481.0 million of cash and cash equivalents and $450.0 million of debt. At June 30, 2025, we had $876.2 million of available liquidity (cash and cash equivalents and undrawn committed bank line availability). Our cash and cash equivalents decreased by $232.2 million during the six months ended June 30, 2025, as we used cash to fund seasonal working capital increases, capital spending, treasury stock purchases, and dividends paid on our common stock. Further descriptions of our cash sources and uses for the six-month comparative periods are noted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cash flows from operations, combined with our current cash levels and available borrowing capacity, will be adequate to fund debt service requirements and provide cash, as required, to support our ongoing operations, capital expenditures, lease obligations, working capital, income tax payments, and to pay cash dividends to holders of our common stock over the next 12 months. We expect to fund our seasonal and intra-month working capital requirements in the remainder of 2025 from cash on hand and, if necessary, borrowings under our revolving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generate cash primarily from sales of our products, as well as short-term and long-term borrowings. Our primary uses of cash are for expenses related to the manufacture and distribution of building products, including inventory purchased for resale, wood fiber, labor, energy, and glues and resins. In addition to paying for ongoing operating costs, we use cash to invest in our business, service our debt and lease obligations, and return cash to our shareholders through dividends or common stock repurchases. Below is a discussion of our sources and uses of cash for operating activities, investing activities, and financing activities.</w:t>
      </w:r>
    </w:p>
    <w:p>
      <w:pPr>
        <w:spacing w:after="0" w:line="9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120" w:type="dxa"/>
            <w:vAlign w:val="bottom"/>
          </w:tcPr>
          <w:p>
            <w:pPr>
              <w:spacing w:after="0"/>
              <w:rPr>
                <w:sz w:val="19"/>
                <w:szCs w:val="1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4,694</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169,165</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(122,105)</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(76,667)</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our operating activities generated $4.7 million of cash, compared with $169.2 million of cash generated in the same period in 2024. The $164.5 million decrease in cash provided by operations was due primarily to a decrease in income from operations, as well as a greater year-over-year increase in working capital, offset partially by a $34.4 million decrease in cash paid for taxes, net of refunds, compared to the same period in 2024. Working capital increased $170.3 million during the six months ended June 30, 2025, compared with a $131.6 million increase for the same period in the prior year. See "Our Operating Results" in this Management's Discussion and Analysis of Financial Condition and Results of Operations for more information related to factors affecting our operating results.</w:t>
      </w:r>
    </w:p>
    <w:p>
      <w:pPr>
        <w:spacing w:after="0" w:line="214"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The increase in working capital during both periods was primarily attributable to higher receivables and inventories, offset by an increase in accounts payable and accrued liabilities. The increase in receivables in both periods primarily reflect increased sales of approximately 22% and 16%, comparing sales for the months of June 2025 and 2024 with sales for the months of December 2024 and 2023, respectively. Inventories increased during the six months ended June 30, 2025 due to seasonally higher inventory purchases in our BMD segment for the summer building season, as well as participation in certain BMD vendors' early-buy programs. In addition, inventories for both segments were impacted by a weaker demand environment. Inventories increased during the six months ended June 30, 2024 due to seasonally higher inventory purchases in our BMD segment for the summer building season. The increase in accounts payable and accrued liabilities in both periods was related to the increase in inventories and extended terms offered by certain BMD vendors, offset partially by employee incentive compensation payouts made during the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Activities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and 2024, we used $132.3 million and $74.1 million, respectively, of cash for purchases of property and equipment, including business improvement and quality/efficiency projects, replacement and expansion projects, and ongoing environmental compliance. During the six months ended June 30, 2025, we received proceeds of $10.2 million from the sale of assets. During the six months ended June 30, 2024, we also used $3.4 million of cash for post-transaction closing adjustments related to the BROSCO acquisition.</w:t>
      </w:r>
    </w:p>
    <w:p>
      <w:pPr>
        <w:spacing w:after="0" w:line="19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Excluding potential acquisitions, we expect capital expenditures in 2025 to total approximately $220 million to $240 million. We expect our capital spending in 2025 will be for business improvement and quality/efficiency projects, replacement and expansion projects, and ongoing environmental compliance. Our 2025 capital expenditures range includes additional spending on the multi-year investments at our Thorsby EWP mill and Oakdale veneer and plywood mill, as well as our greenfield distribution center in Texas. In addition, it includes the purchase of previously leased distribution centers in Chicago, Illinois and Minneapolis, Minnesota. This level of capital expenditures could increase or decrease as a result of several factors, including acquisitions, efforts to further accelerate organic growth, exercise of lease purchase options, our financial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future economic conditions, availability of engineering and construction resources, and timing and availability of equipment purchases.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our financing activities used $114.8 million of cash, including $86.0 million for the repurchase of 837,352 shares of our common stock, $18.4 million in common stock dividend payments, and $5.9 million of tax withholding payments on stock-based awards. On April 14, 2025, we entered into a credit agreement for a $450.0 million revolving credit facility which matures on April 12, 2030. At closing, $50.0 million under the facility was borrowed. Proceeds from the facility were used to repay the $50.0 million term loan under the asset-based revolving credit facility. At June 30, 2025, we had $50.0 million of borrowings outstanding under the revolving credit facility.</w:t>
      </w:r>
    </w:p>
    <w:p>
      <w:pPr>
        <w:spacing w:after="0" w:line="21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our financing activities used $120.0 million of cash, including $88.9 million for the repurchase of 677,845 shares of our common stock, $19.1 million in common stock dividend payments, and $11.1 million of tax withholding payments on stock-based awards. During the six months ended June 30, 2024, we did not borrow under our asset-based revolving credit facility.</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related to our debt transactions and structure, our dividend policy, and our stock repurchase program, see the discussion in Note 6, Debt, and Note 9, Stockholders' Equity, respectively, of the Condensed Notes to Unaudited Quarterly Consolidated Financial Statements in "Item 1. Financial Statements" of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Material Cash Requirements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about other material cash requirements, see Liquidity and Capital Resources in "Item 7. Management's Discussion and Analysis of Financial Condition and Results of Operations" in our 2024 Form 10-K. As of June 30, 2025, there have been no material changes in other material cash requirements outside the ordinary course of business since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Guarantees</w:t>
      </w:r>
    </w:p>
    <w:p>
      <w:pPr>
        <w:spacing w:after="0" w:line="26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Note 8, Debt, and Note 16, Commitments, Legal Proceedings and Contingencies, and Guarantees, of the Notes to Consolidated Financial Statements in "Item 8. Financial Statements and Supplementary Data" in our 2024 Form 10-K describe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June 30, 2025, there have been no material changes to the guarantees disclosed in our 2024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 Influences</w:t>
      </w:r>
    </w:p>
    <w:p>
      <w:pPr>
        <w:spacing w:after="0" w:line="2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fluctuations in quarterly sales volumes and expenses due to seasonal factors. These seasonal factors are common in the building products industry. Seasonal changes in levels of building activity affect our building products businesses, which are dependent on housing starts, repair-and-remodeling activities, and light commercial construction activities. We typically report lower sales volumes in the first and fourth quarters due to the impact of poor weather on the construction market, and we generally have higher sales volumes in the second and third quarters, reflecting an increase in construction due to more favorable weather conditions. We typically have higher working capital in the first and second quarters in preparation and response to the building season. Seasonally cold weather increases costs, especially energy consumption costs, at most of our manufacturing facilities.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6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July 20, 2025, we had approximately 7,710 employees. Approximately 17% of these employees work pursuant to collective bargaining agreements. As of July 20, 2025, we had ten collective bargaining agreements. One agreement covering approximately 20 employees at our Billings BMD facility expired on March 31, 2025. In late July, the union commenced a work stoppage; however, the terms and conditions of this agreement generally remain in effect pending negotiation of a new agreement. The company continues to engage in good faith efforts to reach an agreement on a new contract. Two agreements covering approximately 730 employees at our Oakdale and Florien plywood plants expired on July 15, 2025. The terms and conditions of these agreements remain in effect pending negotiation of new agreements.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renew these agreements or may renew them on terms that are less favorable to us than the current agreements. If any of these agreements are not renewed or extended upon their termination, we could experience a material labor disruption, strike, or significantly increased labor costs at one or more of our facilities, either in the course of negotiations of a labor agreement or otherwise. Labor disruptions or shortages could prevent us from meeting customer demands or result in increased costs, thereby reducing our sales and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Disclosures of Financial Market Risks</w:t>
      </w:r>
    </w:p>
    <w:p>
      <w:pPr>
        <w:spacing w:after="0" w:line="26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financial risks such as changes in commodity prices, interest rates, and foreign currency exchange rates. As of June 30, 2025, there have been no material changes to financial market risks disclosed in our 2024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w:t>
      </w:r>
    </w:p>
    <w:p>
      <w:pPr>
        <w:spacing w:after="0" w:line="251"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As of June 30, 2025, there have been no material changes to environmental issues disclosed in our 2024 Form 10-K. For additional information, see Environmental in "Item 7. Management's Discussion and Analysis of Financial Condition and Results of Operations" in our 2024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that are most important to the portrayal of our financial condition and results. These estimates require management's most difficult, subjective, or complex judgments, often as a result of the need to estimate matters that are inherently uncertain. We review the development, selection, and disclosure of our critical accounting estimates with the Audit Committee of our board of directors. For information about critical accounting estimates, see Critical Accounting Estimates in "Item 7. Management's Discussion and Analysis of Financial Condition and Results of Operations" in our 2024 Form 10-K. At June 30, 2025, there have been no material changes to our critical accounting estimates from those disclosed in our 2024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and Recently Adopted Accounting Standards</w:t>
      </w:r>
    </w:p>
    <w:p>
      <w:pPr>
        <w:spacing w:after="0" w:line="265"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information related to new and recently adopted accounting standards, see "New and Recently Adopted Accounting Standards" in Note 2, Summary of Significant Accounting Policies, of the Condensed Notes to Unaudited Quarterly Consolidated Financial Statements in "Item 1. Financial Statements" in this Form 10-Q.</w:t>
      </w:r>
    </w:p>
    <w:p>
      <w:pPr>
        <w:spacing w:after="0" w:line="19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i w:val="1"/>
          <w:i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26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For information relating to quantitative and qualitative disclosures about market risk, see the discussion under "Item 7A. Quantitative and Qualitative Disclosures About Market Risk" and under the headings "Disclosures of Financial Market Risks" and "Financial Instruments" in "Item 7. Management's Discussion and Analysis of Financial Condition and Results of Operations" in our 2024 Form 10-K. As of June 30, 2025, there have been no material changes in our exposure to market risk from those disclosed in our 2024 Form 10-K.</w:t>
      </w:r>
    </w:p>
    <w:p>
      <w:pPr>
        <w:spacing w:after="0" w:line="19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i w:val="1"/>
          <w:i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Exchange Act. We have designed these controls and procedures to reasonably assure that information required to be disclosed in our reports filed or submitted under the Exchange Act, such as this Form 10-Q, is recorded, processed, summarized, and reported within the time periods specified in the Securities and Exchange Commission's rules and forms. We have also designed our disclosure controls to provide reasonable assurance that such information is accumulated and communicated to our senior management, including our chief executive officer (CEO) and our chief financial officer (CFO), as appropriate, to allow them to make timely decisions regarding our required disclosures. Based on their evaluation, our CEO and CFO have concluded that as of June 30, 2025, our disclosure controls and procedures were effective.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6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 party to legal proceedings that arise in the ordinary course of our business, including commercial liability claims, premises claims, environmental claims, and employment-related claims, among others. As of the date of this filing, we do not believe that we are party to any legal action that could reasonably be expected to have, individually or in the aggregate, a material adverse effect on our financial position, results of operations, or cash flows.</w:t>
      </w:r>
    </w:p>
    <w:p>
      <w:pPr>
        <w:spacing w:after="0" w:line="20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we use a threshold of $1 million or more for purposes of determining whether disclosure of any such proceedings is required.</w:t>
      </w:r>
    </w:p>
    <w:p>
      <w:pPr>
        <w:spacing w:after="0" w:line="2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Statements that are not historical or current facts, including statements about our expectations, anticipated financial results, projected capital expenditures, and future business prospects, are forward-looking statements. You can identify these statements by our use of words such as "may," "will," "expect," "believe," "should," "plan," "anticipate," and other similar expressions. You can find examples of these statements throughout this report, including "Item 2. Management's Discussion and Analysis of Financial Condition and Results of Operations." We cannot guarantee that our actual results will be consistent with the forward-looking statements we make in this report. You should review carefully the risk factors listed in "Item 1A. Risk Factors" in our 2024 Form 10-K, as well as those factors listed in other documents we file with the Securities and Exchange Commission. We do not assume an obligation to update any forward-looking statement.</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 by the Issuer and Affiliated Purchasers</w:t>
      </w:r>
    </w:p>
    <w:p>
      <w:pPr>
        <w:spacing w:after="0" w:line="2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October 30, 2024, our board of directors authorized the repurchase of an additional 1.4 million shares of our common stock. This is the most recent authorization under our common stock repurchase program that was authorized on February 25, 2015 (the Program). Share repurchases may be made on an opportunistic basis, through open market transactions, privately negotiated transactions, or by other means in accordance with applicable federal securities laws. During second quarter 2025, we repurchased 354,652 shares under the Program at a cost of $32.1 million, or an average of $90.59 per share. Set forth below is information regarding the Company's share repurchases under the Program during the second quarter ended June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Maximum Number</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Average Price Paid per</w:t>
            </w:r>
          </w:p>
        </w:tc>
        <w:tc>
          <w:tcPr>
            <w:tcW w:w="19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of Shares That May Yet</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9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Publicly Announced</w:t>
            </w: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Be Purchased Under the</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w:t>
            </w:r>
          </w:p>
        </w:tc>
        <w:tc>
          <w:tcPr>
            <w:tcW w:w="380" w:type="dxa"/>
            <w:vAlign w:val="bottom"/>
          </w:tcPr>
          <w:p>
            <w:pPr>
              <w:spacing w:after="0"/>
              <w:rPr>
                <w:sz w:val="21"/>
                <w:szCs w:val="21"/>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Plans or Programs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 or Programs</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1,146,071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1,082,315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8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111,451</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970,864</w:t>
            </w:r>
          </w:p>
        </w:tc>
        <w:tc>
          <w:tcPr>
            <w:tcW w:w="0" w:type="dxa"/>
            <w:vAlign w:val="bottom"/>
          </w:tcPr>
          <w:p>
            <w:pPr>
              <w:spacing w:after="0"/>
              <w:rPr>
                <w:sz w:val="1"/>
                <w:szCs w:val="1"/>
                <w:color w:val="auto"/>
              </w:rPr>
            </w:pPr>
          </w:p>
        </w:tc>
      </w:tr>
      <w:tr>
        <w:trPr>
          <w:trHeight w:val="223"/>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354,652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90.59</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354,652</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970,864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Boise Cascade's directors or officers adopted, terminated or modified a Rule 10b5-1 trading arrangement or non-Rule 10b5-1 trading arrangement (as such terms are defined in Item 408 of Regulation S-K of the Securities Act of 1933).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6"/>
              </w:rPr>
              <w:t>ITEM 6.</w:t>
            </w:r>
          </w:p>
        </w:tc>
        <w:tc>
          <w:tcPr>
            <w:tcW w:w="1022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99"/>
        </w:trPr>
        <w:tc>
          <w:tcPr>
            <w:tcW w:w="10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6"/>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8"/>
        </w:trPr>
        <w:tc>
          <w:tcPr>
            <w:tcW w:w="980" w:type="dxa"/>
            <w:vAlign w:val="bottom"/>
            <w:gridSpan w:val="2"/>
          </w:tcPr>
          <w:p>
            <w:pPr>
              <w:jc w:val="right"/>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Credit Agreement, dated as of April 14, 2025, among Boise Cascade Company, JPMorgan Chase Bank, N.A., as administrative agent</w:t>
              </w:r>
            </w:hyperlink>
          </w:p>
        </w:tc>
      </w:tr>
      <w:tr>
        <w:trPr>
          <w:trHeight w:val="155"/>
        </w:trPr>
        <w:tc>
          <w:tcPr>
            <w:tcW w:w="6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 xml:space="preserve">and a lender, and the other lenders from time to time party thereto </w:t>
              </w:r>
              <w:r>
                <w:rPr>
                  <w:rFonts w:ascii="Times New Roman" w:cs="Times New Roman" w:eastAsia="Times New Roman" w:hAnsi="Times New Roman"/>
                  <w:sz w:val="18"/>
                  <w:szCs w:val="18"/>
                  <w:color w:val="000000"/>
                </w:rPr>
                <w:t>(incorporated by reference to Exhibit 10.1 to the Company's Form</w:t>
              </w:r>
            </w:hyperlink>
          </w:p>
        </w:tc>
        <w:tc>
          <w:tcPr>
            <w:tcW w:w="160" w:type="dxa"/>
            <w:vAlign w:val="bottom"/>
          </w:tcPr>
          <w:p>
            <w:pPr>
              <w:spacing w:after="0"/>
              <w:rPr>
                <w:sz w:val="13"/>
                <w:szCs w:val="13"/>
                <w:color w:val="auto"/>
              </w:rPr>
            </w:pPr>
          </w:p>
        </w:tc>
      </w:tr>
      <w:tr>
        <w:trPr>
          <w:trHeight w:val="228"/>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7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8-K filed on April 16, 2025)</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r>
      <w:tr>
        <w:trPr>
          <w:trHeight w:val="319"/>
        </w:trPr>
        <w:tc>
          <w:tcPr>
            <w:tcW w:w="980" w:type="dxa"/>
            <w:vAlign w:val="bottom"/>
            <w:gridSpan w:val="2"/>
          </w:tcPr>
          <w:p>
            <w:pPr>
              <w:jc w:val="right"/>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 xml:space="preserve">2025 Boise Cascade Omnibus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Company's Form 8-K filed on May 5,</w:t>
            </w:r>
          </w:p>
        </w:tc>
      </w:tr>
      <w:tr>
        <w:trPr>
          <w:trHeight w:val="228"/>
        </w:trPr>
        <w:tc>
          <w:tcPr>
            <w:tcW w:w="68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3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19"/>
        </w:trPr>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CEO Certification pursuant to Section 302 of the Sarbanes-Oxley Act of 2002</w:t>
            </w:r>
          </w:p>
        </w:tc>
        <w:tc>
          <w:tcPr>
            <w:tcW w:w="4120" w:type="dxa"/>
            <w:vAlign w:val="bottom"/>
            <w:gridSpan w:val="3"/>
          </w:tcPr>
          <w:p>
            <w:pPr>
              <w:spacing w:after="0"/>
              <w:rPr>
                <w:sz w:val="24"/>
                <w:szCs w:val="24"/>
                <w:color w:val="auto"/>
              </w:rPr>
            </w:pPr>
          </w:p>
        </w:tc>
      </w:tr>
      <w:tr>
        <w:trPr>
          <w:trHeight w:val="358"/>
        </w:trPr>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CFO Certification pursuant to Section 302 of the Sarbanes-Oxley Act of 2002</w:t>
            </w: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58"/>
        </w:trPr>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CEO Certification pursuant to 18 U.S.C. Section 1350, as adopted pursuant to Section 906 of the Sarbanes-Oxley Act of 2002</w:t>
            </w:r>
          </w:p>
        </w:tc>
      </w:tr>
      <w:tr>
        <w:trPr>
          <w:trHeight w:val="20"/>
        </w:trPr>
        <w:tc>
          <w:tcPr>
            <w:tcW w:w="6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60" w:type="dxa"/>
            <w:vAlign w:val="bottom"/>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r>
      <w:tr>
        <w:trPr>
          <w:trHeight w:val="358"/>
        </w:trPr>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CFO Certification pursuant to 18 U.S.C. Section 1350, as adopted pursuant to Section 906 of the Sarbanes-Oxley Act of 2002</w:t>
            </w:r>
          </w:p>
        </w:tc>
      </w:tr>
      <w:tr>
        <w:trPr>
          <w:trHeight w:val="20"/>
        </w:trPr>
        <w:tc>
          <w:tcPr>
            <w:tcW w:w="6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60" w:type="dxa"/>
            <w:vAlign w:val="bottom"/>
            <w:gridSpan w:val="5"/>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99"/>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78"/>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4" w:lineRule="exact"/>
        <w:rPr>
          <w:sz w:val="20"/>
          <w:szCs w:val="20"/>
          <w:color w:val="auto"/>
        </w:rPr>
      </w:pPr>
    </w:p>
    <w:p>
      <w:pPr>
        <w:ind w:left="1480" w:hanging="815"/>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BOISE CASCADE COMPANY</w:t>
      </w:r>
    </w:p>
    <w:p>
      <w:pPr>
        <w:spacing w:after="0" w:line="200" w:lineRule="exact"/>
        <w:rPr>
          <w:sz w:val="20"/>
          <w:szCs w:val="20"/>
          <w:color w:val="auto"/>
        </w:rPr>
      </w:pPr>
    </w:p>
    <w:p>
      <w:pPr>
        <w:spacing w:after="0" w:line="28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Kelly E. Hibbs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Kelly E. Hibbs</w:t>
      </w: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60"/>
          </w:cols>
          <w:pgMar w:left="320" w:top="121" w:right="11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R. Jorgensen, certify that:</w:t>
      </w:r>
    </w:p>
    <w:p>
      <w:pPr>
        <w:spacing w:after="0" w:line="36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Boise Cascade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563"/>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563"/>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563"/>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563"/>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563"/>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563"/>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36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Nathan R.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202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Nathan R. Jorgensen</w:t>
      </w:r>
    </w:p>
    <w:p>
      <w:pP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E. Hibbs, certify that:</w:t>
      </w:r>
    </w:p>
    <w:p>
      <w:pPr>
        <w:spacing w:after="0" w:line="33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Boise Cascade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3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Kelly E. Hibbs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3686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Kelly E. Hibbs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R. Jorgensen, certify pursuant to 18 U.S.C. Section 1350, as adopted pursuant to Section 906 of the Sarbanes-Oxley Act of 2002, that:</w:t>
      </w:r>
    </w:p>
    <w:p>
      <w:pPr>
        <w:spacing w:after="0" w:line="225" w:lineRule="exact"/>
        <w:rPr>
          <w:sz w:val="20"/>
          <w:szCs w:val="20"/>
          <w:color w:val="auto"/>
        </w:rPr>
      </w:pPr>
    </w:p>
    <w:p>
      <w:pPr>
        <w:ind w:left="660" w:right="120" w:hanging="652"/>
        <w:spacing w:after="0" w:line="282" w:lineRule="auto"/>
        <w:tabs>
          <w:tab w:leader="none" w:pos="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for the quarter ended June 30, 2025 (the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Boise Cascade Company at the dates and for the periods indicated in the Report.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expressly disclaims any obligation to update the foregoing certification except as required by law.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5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Nathan R.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2028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8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Nathan R. Jorgensen</w:t>
      </w:r>
    </w:p>
    <w:p>
      <w:pP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a part of the Report or as a separate disclosure document.</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E. Hibbs, certify pursuant to 18 U.S.C. Section 1350, as adopted pursuant to Section 906 of the Sarbanes-Oxley Act of 2002, that:</w:t>
      </w:r>
    </w:p>
    <w:p>
      <w:pPr>
        <w:spacing w:after="0" w:line="225" w:lineRule="exact"/>
        <w:rPr>
          <w:sz w:val="20"/>
          <w:szCs w:val="20"/>
          <w:color w:val="auto"/>
        </w:rPr>
      </w:pPr>
    </w:p>
    <w:p>
      <w:pPr>
        <w:ind w:left="660" w:right="80" w:hanging="652"/>
        <w:spacing w:after="0" w:line="282" w:lineRule="auto"/>
        <w:tabs>
          <w:tab w:leader="none" w:pos="3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for the quarter ended June 30, 2025 (the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3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Boise Cascade Company at the dates and for the periods indicated in the Report.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expressly disclaims any obligation to update the foregoing certification except as required by law.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2025</w:t>
      </w:r>
    </w:p>
    <w:p>
      <w:pPr>
        <w:spacing w:after="0" w:line="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Kelly E. Hibbs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17145</wp:posOffset>
            </wp:positionV>
            <wp:extent cx="33686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Kelly E. Hibbs</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a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4" Type="http://schemas.openxmlformats.org/officeDocument/2006/relationships/hyperlink" Target="https://www.sec.gov/Archives/edgar/data/1328581/000132858125000052/exhibit101bccjpmcreditagre.htm" TargetMode="External"/><Relationship Id="rId55" Type="http://schemas.openxmlformats.org/officeDocument/2006/relationships/hyperlink" Target="https://www.sec.gov/Archives/edgar/data/1328581/000132858125000057/bccex1012025omnibus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2025-08-04T15:33:53Z</dcterms:created>
  <dcterms:modified xsi:type="dcterms:W3CDTF">2025-08-04T15:33:53Z</dcterms:modified>
</cp:coreProperties>
</file>