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SPECIALIZED DISCLOSURE REPORT</w:t>
      </w:r>
    </w:p>
    <w:p>
      <w:pPr>
        <w:pStyle w:val="TextBody"/>
        <w:bidi w:val="0"/>
        <w:spacing w:before="0" w:after="0"/>
        <w:jc w:val="center"/>
        <w:rPr/>
      </w:pPr>
      <w:r>
        <w:rPr/>
      </w:r>
    </w:p>
    <w:tbl>
      <w:tblPr>
        <w:tblW w:w="10153" w:type="dxa"/>
        <w:jc w:val="center"/>
        <w:tblInd w:w="0" w:type="dxa"/>
        <w:tblLayout w:type="fixed"/>
        <w:tblCellMar>
          <w:top w:w="28" w:type="dxa"/>
          <w:left w:w="28" w:type="dxa"/>
          <w:bottom w:w="28" w:type="dxa"/>
          <w:right w:w="28" w:type="dxa"/>
        </w:tblCellMar>
      </w:tblPr>
      <w:tblGrid>
        <w:gridCol w:w="1802"/>
        <w:gridCol w:w="1581"/>
        <w:gridCol w:w="1581"/>
        <w:gridCol w:w="765"/>
        <w:gridCol w:w="765"/>
        <w:gridCol w:w="765"/>
        <w:gridCol w:w="837"/>
        <w:gridCol w:w="837"/>
        <w:gridCol w:w="1220"/>
      </w:tblGrid>
      <w:tr>
        <w:trPr/>
        <w:tc>
          <w:tcPr>
            <w:tcW w:w="180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1015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44"/>
              </w:rPr>
            </w:pPr>
            <w:r>
              <w:rPr>
                <w:rFonts w:ascii="Times New Roman;serif" w:hAnsi="Times New Roman;serif"/>
                <w:b/>
                <w:color w:val="000000"/>
                <w:sz w:val="44"/>
              </w:rPr>
              <w:t>Boise Cascade Company</w:t>
            </w:r>
          </w:p>
        </w:tc>
      </w:tr>
      <w:tr>
        <w:trPr/>
        <w:tc>
          <w:tcPr>
            <w:tcW w:w="1015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001-35805</w:t>
            </w:r>
          </w:p>
        </w:tc>
        <w:tc>
          <w:tcPr>
            <w:tcW w:w="28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20-1496201</w:t>
            </w:r>
          </w:p>
        </w:tc>
      </w:tr>
      <w:tr>
        <w:trPr/>
        <w:tc>
          <w:tcPr>
            <w:tcW w:w="49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1111 West Jefferson Street</w:t>
            </w:r>
          </w:p>
        </w:tc>
      </w:tr>
      <w:tr>
        <w:trPr/>
        <w:tc>
          <w:tcPr>
            <w:tcW w:w="1015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Suite 300</w:t>
            </w:r>
          </w:p>
        </w:tc>
      </w:tr>
      <w:tr>
        <w:trPr/>
        <w:tc>
          <w:tcPr>
            <w:tcW w:w="1015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Boise, Idaho 83702-5389</w:t>
            </w:r>
          </w:p>
        </w:tc>
      </w:tr>
      <w:tr>
        <w:trPr/>
        <w:tc>
          <w:tcPr>
            <w:tcW w:w="1015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Jill Twedt, Senior Vice President, General Counsel and Corporate Secretary</w:t>
              <w:br/>
              <w:t>(208) 384-4924</w:t>
            </w:r>
          </w:p>
        </w:tc>
      </w:tr>
      <w:tr>
        <w:trPr/>
        <w:tc>
          <w:tcPr>
            <w:tcW w:w="10153"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(Name and telephone number, including area code, of the person to contact in connection with this report.)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to indicate the rule pursuant to which this form is being filed:</w:t>
      </w:r>
    </w:p>
    <w:p>
      <w:pPr>
        <w:pStyle w:val="TextBody"/>
        <w:bidi w:val="0"/>
        <w:spacing w:before="0" w:after="0"/>
        <w:jc w:val="left"/>
        <w:rPr/>
      </w:pPr>
      <w:r>
        <w:rPr/>
      </w:r>
    </w:p>
    <w:p>
      <w:pPr>
        <w:pStyle w:val="TextBody"/>
        <w:bidi w:val="0"/>
        <w:spacing w:lineRule="auto" w:line="288" w:before="0" w:after="0"/>
        <w:jc w:val="left"/>
        <w:rPr/>
      </w:pPr>
      <w:r>
        <w:rPr>
          <w:rFonts w:ascii="Wingdings;sans-serif" w:hAnsi="Wingdings;sans-serif"/>
          <w:b w:val="false"/>
          <w:color w:val="000000"/>
          <w:sz w:val="24"/>
        </w:rPr>
        <w:t xml:space="preserve">x </w:t>
      </w:r>
      <w:r>
        <w:rPr>
          <w:rFonts w:ascii="Times New Roman;serif" w:hAnsi="Times New Roman;serif"/>
          <w:b w:val="false"/>
          <w:color w:val="000000"/>
          <w:sz w:val="20"/>
        </w:rPr>
        <w:t>Rule 13p-1 under the Securities Exchange Act (17 CFR 240.13p-1) for the reporting period from January 1 to December 31, 2025.</w:t>
      </w:r>
    </w:p>
    <w:p>
      <w:pPr>
        <w:pStyle w:val="TextBody"/>
        <w:bidi w:val="0"/>
        <w:spacing w:lineRule="auto" w:line="276" w:before="100" w:after="283"/>
        <w:jc w:val="left"/>
        <w:rPr/>
      </w:pPr>
      <w:r>
        <w:rPr>
          <w:rFonts w:ascii="Wingdings;sans-serif" w:hAnsi="Wingdings;sans-serif"/>
          <w:b w:val="false"/>
          <w:color w:val="000000"/>
          <w:sz w:val="24"/>
        </w:rPr>
        <w:t xml:space="preserve">o </w:t>
      </w:r>
      <w:r>
        <w:rPr>
          <w:rFonts w:ascii="Times New Roman;serif" w:hAnsi="Times New Roman;serif"/>
          <w:b w:val="false"/>
          <w:color w:val="000000"/>
          <w:sz w:val="20"/>
        </w:rPr>
        <w:t>Rule 13q-1 under the Securities Exchange Act (17 CFR 240.13q-1) for the fiscal year ended 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Section 1 - Conflict Minerals Disclosure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Conflict Minerals Disclosure and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Introduction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Boise Cascade Company (the "Company") is one of the largest U.S. wholesale distributors of building materials and a leading manufacturer of engineered wood products (EWP) and plywood in North America. As used in this Form SD, the terms "Boise Cascade," "we," and "our" refer to the Company and its consolidated subsidiaries. Our products are used in the construction of new residential housing, including single-family, multi-family, and manufactured homes, the repair-and-remodeling of existing housing, the construction of light industrial and commercial buildings, and other industrial applications.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Rule 13p-1 of the Securities Exchange Act of 1934, as amended (the “Conflict Minerals Rule”), requires a reporting company to file a Form SD if it determines that any “conflict minerals” (as specified by Form SD) are necessary to the functionality or production of a product manufactured by the company or contracted by the company to be manufactured during the calendar year ended December 31, 2025 (the “Reporting Period”). As of the date of this filing, “conflict minerals” means columbite-tantalite (coltan), cassiterite, gold, wolframite, or their derivatives, which are limited to tantalum, tin, and tungsten. If a reporting company determines that conflict minerals are necessary to the functionality or production of a product manufactured by the company or contracted by the company to be manufactured, then such company must conduct a Reasonable Country of Origin Inquiry (“RCOI”) to determine whether any of such conflict minerals originated in a “Covered Country” or whether they are from recycled or scrap sources. As of the date of this filing, the “Covered Countries” are the Democratic Republic of the Congo or an adjoining country, which means a country that shares an internationally recognized border with the Democratic Republic of the Congo. The Conflict Minerals Rule defines the subject minerals as “conflict minerals” regardless of the geographic origin of the minerals and even if the mining and sourcing of the minerals did not fund armed conflict.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Conflict Minerals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is the Company’s disclosure required under the Conflict Minerals Rule for the Reporting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set forth in our Code of Ethics (the “Code”), our core values are Integrity, Safety, Respect, and Pursuit of Excellence. We aspire to do business only with third parties that have a reputation for integrity, and anyone representing the Company or working on our behalf is expected to act consistently with our Code. Our Code also emphasizes our belief in fair labor practices and our commitment to fostering an environment that recognizes and supports all aspects and dimensions of human rights. We expect our employees to ensure that our suppliers, contractors, or other business partners do not participate in any practice that violates human rights. Our Code also states that it is our policy to comply at all times with the laws, rules, regulations, and compliant labor practices that apply to our business and have the same expectations of our suppliers.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Supplier Code of Conduct (the “Supplier Code”) can be found at https://www.bc.com/suppliers/. The Supplier Code defines the expectations we have of each of our suppliers, vendors, contractors, consultants, agents and any others who provide goods and services to the Company. The Supplier Code also includes the Company’s commitment to sourcing products from suppliers that share our values regarding ethical business practices and environmental responsibility. Suppliers are expected (a) to ensure that products supplied to Boise Cascade do not contain metals derived from conflict minerals that directly or indirectly finance or benefit armed groups in the Democratic Republic of the Congo (or any adjoining country), and (b) to support the commitments set forth in Boise Cascade’s Conflict Minerals Policy (available at https://www.bc.com/resources/conflict-minerals-policy/). The Company does not purchase product directly from any suppliers, smelters, refiners or mines in the Covered Countries and has no direct contractual relationship with smelters and refiners. Instead, we rely on our direct suppliers to gather and provide specific information about the source of conflict minerals.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Reasonable Country of Origin Inquiry and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assessed its product lines for the Reporting Period and determined that certain products we manufacture or contract to manufacture contain conflict minerals. Product lines included in the assessment relate to components used in the assembly of interior doors, exterior doors, wall panels and roof trusses. Through our assessment, we identified 63 suppliers of components utilizing conflict minerals. We mailed questionnaires asking those suppliers if conflict minerals are necessary to the functionality or production of the products we procure. In an effort to receive responses from all suppliers, we mailed questionnaires up to three times to nonrespondents. Of those 63 suppliers, 47 (or 75%) completed and returned the questionnaire.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the 47 responses we received, three stated that they had suppliers in their supply chain that had conflict minerals in their products. Two of the three suppliers filed their Electronic Industry Citizenship Coalition Conflict Minerals Reporting Template (CMRT), listing the conflict minerals used and where they are sourced. Whereas the third supplier provided their Form SD from 2025. One of the suppliers that filed their CMRT stated the conflict material used in their product does not come from any of the covered countries. The second supplier that filed their CMRT stated that the smelters they use are all Conflict-Free Sourcing Initiative (CFSI) compliant smelters. The third supplier that provided their Form SD stated that they have all the conflict minerals in their products, and after conducting a reasonable country of origin inquiry, determined they have reason to believe that some of the conflict materials may have originated in some of the covered countries.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Determination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 information provided by the suppliers described above, the Company does have reason to believe that its suppliers may have obtained conflict minerals which originated in the Covered Countries and some for which the sourcing areas were unknown. However, the Company found no reasonable basis for concluding that the Company’s products contain any conflict minerals that directly or indirectly financed or benefited armed groups in the Covered Countries.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 accordance with Rule 13p-1 under the Exchange Act, the Company has filed this Specialized Disclosure Form (Form SD), and such disclosure is also available to the public on our website at https://www.bc.com/portal/investor-relations/sec-filings/.</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duly authorized.</w:t>
      </w:r>
    </w:p>
    <w:tbl>
      <w:tblPr>
        <w:tblW w:w="8427" w:type="dxa"/>
        <w:jc w:val="left"/>
        <w:tblInd w:w="0" w:type="dxa"/>
        <w:tblLayout w:type="fixed"/>
        <w:tblCellMar>
          <w:top w:w="28" w:type="dxa"/>
          <w:left w:w="28" w:type="dxa"/>
          <w:bottom w:w="28" w:type="dxa"/>
          <w:right w:w="28" w:type="dxa"/>
        </w:tblCellMar>
      </w:tblPr>
      <w:tblGrid>
        <w:gridCol w:w="629"/>
        <w:gridCol w:w="554"/>
        <w:gridCol w:w="557"/>
        <w:gridCol w:w="504"/>
        <w:gridCol w:w="504"/>
        <w:gridCol w:w="504"/>
        <w:gridCol w:w="1511"/>
        <w:gridCol w:w="1511"/>
        <w:gridCol w:w="215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7"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BOISE CASCADE COMPANY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Jill Twedt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Jill Twedt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&amp; Corporate Secretary</w:t>
            </w:r>
          </w:p>
        </w:tc>
      </w:tr>
      <w:tr>
        <w:trPr/>
        <w:tc>
          <w:tcPr>
            <w:tcW w:w="174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20, 2026</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1229</Words>
  <Characters>6943</Characters>
  <CharactersWithSpaces>8128</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