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-10795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8" w:lineRule="auto"/>
        <w:tabs>
          <w:tab w:leader="none" w:pos="360" w:val="left"/>
        </w:tabs>
        <w:numPr>
          <w:ilvl w:val="0"/>
          <w:numId w:val="1"/>
        </w:numPr>
        <w:rPr>
          <w:rFonts w:ascii="Arial" w:cs="Arial" w:eastAsia="Arial" w:hAnsi="Arial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BELL STANLEY R</w:t>
              </w:r>
            </w:hyperlink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BOISE CASCADE Co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BCC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BOISE CASCADE COMPANY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02/27/2014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1111 WEST JEFFERSON STREET, SUITE 300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Building Materials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02/27/2014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4,532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19,623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par value $0.01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03/11/2014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1,575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28.62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18,048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15,091 shares of Boise Cascade Company common stock which the reporting person received on March 3, 2014 in a pro rata distribution for no consideration, as reflected in a Form 4 filed by the reporting person on March 5, 2014.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John T. Sahlberg, as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03/17/2014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6940" TargetMode="External"/><Relationship Id="rId13" Type="http://schemas.openxmlformats.org/officeDocument/2006/relationships/hyperlink" Target="http://www.sec.gov/cgi-bin/browse-edgar?action=getcompany&amp;CIK=00013285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2019-12-16T22:09:02Z</dcterms:created>
  <dcterms:modified xsi:type="dcterms:W3CDTF">2019-12-16T22:09:02Z</dcterms:modified>
</cp:coreProperties>
</file>