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911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STOKES NICK</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BOISE CASCADE Co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BCC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58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BOISE CASCADE COMPANY</w:t>
            </w:r>
          </w:p>
        </w:tc>
        <w:tc>
          <w:tcPr>
            <w:tcW w:w="2140" w:type="dxa"/>
            <w:vAlign w:val="bottom"/>
            <w:gridSpan w:val="3"/>
          </w:tcPr>
          <w:p>
            <w:pPr>
              <w:ind w:left="160"/>
              <w:spacing w:after="0"/>
              <w:rPr>
                <w:sz w:val="20"/>
                <w:szCs w:val="20"/>
                <w:color w:val="auto"/>
              </w:rPr>
            </w:pPr>
            <w:r>
              <w:rPr>
                <w:rFonts w:ascii="Arial" w:cs="Arial" w:eastAsia="Arial" w:hAnsi="Arial"/>
                <w:sz w:val="18"/>
                <w:szCs w:val="18"/>
                <w:color w:val="0000FF"/>
              </w:rPr>
              <w:t>05/10/2018</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1111 WEST JEFFERSON STREET, SUITE 300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0000FF"/>
        </w:rPr>
        <w:t>EVP, BMD</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0000FF"/>
              </w:rPr>
              <w:t>BOISE</w:t>
            </w:r>
          </w:p>
        </w:tc>
        <w:tc>
          <w:tcPr>
            <w:tcW w:w="860" w:type="dxa"/>
            <w:vAlign w:val="bottom"/>
            <w:vMerge w:val="restart"/>
          </w:tcPr>
          <w:p>
            <w:pPr>
              <w:ind w:left="660"/>
              <w:spacing w:after="0"/>
              <w:rPr>
                <w:sz w:val="20"/>
                <w:szCs w:val="20"/>
                <w:color w:val="auto"/>
              </w:rPr>
            </w:pPr>
            <w:r>
              <w:rPr>
                <w:rFonts w:ascii="Arial" w:cs="Arial" w:eastAsia="Arial" w:hAnsi="Arial"/>
                <w:sz w:val="18"/>
                <w:szCs w:val="18"/>
                <w:color w:val="0000FF"/>
                <w:w w:val="99"/>
              </w:rPr>
              <w:t>ID</w:t>
            </w:r>
          </w:p>
        </w:tc>
        <w:tc>
          <w:tcPr>
            <w:tcW w:w="104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83702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3"/>
          </w:tcPr>
          <w:p>
            <w:pPr>
              <w:ind w:left="7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4"/>
          </w:tcPr>
          <w:p>
            <w:pPr>
              <w:ind w:left="60"/>
              <w:spacing w:after="0"/>
              <w:rPr>
                <w:sz w:val="20"/>
                <w:szCs w:val="20"/>
                <w:color w:val="auto"/>
              </w:rPr>
            </w:pPr>
            <w:r>
              <w:rPr>
                <w:rFonts w:ascii="Arial" w:cs="Arial" w:eastAsia="Arial" w:hAnsi="Arial"/>
                <w:sz w:val="18"/>
                <w:szCs w:val="18"/>
                <w:color w:val="0000FF"/>
                <w:w w:val="98"/>
              </w:rPr>
              <w:t>Common Stock, par value $0.01</w:t>
            </w:r>
          </w:p>
        </w:tc>
        <w:tc>
          <w:tcPr>
            <w:tcW w:w="1640" w:type="dxa"/>
            <w:vAlign w:val="bottom"/>
            <w:gridSpan w:val="3"/>
          </w:tcPr>
          <w:p>
            <w:pPr>
              <w:jc w:val="right"/>
              <w:ind w:right="112"/>
              <w:spacing w:after="0"/>
              <w:rPr>
                <w:sz w:val="20"/>
                <w:szCs w:val="20"/>
                <w:color w:val="auto"/>
              </w:rPr>
            </w:pPr>
            <w:r>
              <w:rPr>
                <w:rFonts w:ascii="Arial" w:cs="Arial" w:eastAsia="Arial" w:hAnsi="Arial"/>
                <w:sz w:val="18"/>
                <w:szCs w:val="18"/>
                <w:color w:val="0000FF"/>
              </w:rPr>
              <w:t>05/10/2018</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5,923</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60" w:type="dxa"/>
            <w:vAlign w:val="bottom"/>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27.19</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79,452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20" w:type="dxa"/>
            <w:vAlign w:val="bottom"/>
            <w:tcBorders>
              <w:bottom w:val="single" w:sz="8" w:color="2C2C2C"/>
            </w:tcBorders>
            <w:gridSpan w:val="4"/>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8"/>
              </w:rPr>
              <w:t>Common Stock, par value $0.01</w:t>
            </w: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05/10/2018</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5,923</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44.1084</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73,529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jc w:val="center"/>
              <w:ind w:left="78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gridSpan w:val="9"/>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80" w:type="dxa"/>
            <w:vAlign w:val="bottom"/>
          </w:tcPr>
          <w:p>
            <w:pPr>
              <w:spacing w:after="0"/>
              <w:rPr>
                <w:sz w:val="7"/>
                <w:szCs w:val="7"/>
                <w:color w:val="auto"/>
              </w:rPr>
            </w:pPr>
          </w:p>
        </w:tc>
        <w:tc>
          <w:tcPr>
            <w:tcW w:w="58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180"/>
              <w:spacing w:after="0"/>
              <w:rPr>
                <w:sz w:val="20"/>
                <w:szCs w:val="20"/>
                <w:color w:val="auto"/>
              </w:rPr>
            </w:pPr>
            <w:r>
              <w:rPr>
                <w:rFonts w:ascii="Arial" w:cs="Arial" w:eastAsia="Arial" w:hAnsi="Arial"/>
                <w:sz w:val="18"/>
                <w:szCs w:val="18"/>
                <w:color w:val="0000FF"/>
              </w:rPr>
              <w:t>5,923</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Option</w:t>
            </w:r>
          </w:p>
        </w:tc>
        <w:tc>
          <w:tcPr>
            <w:tcW w:w="8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27.19</w:t>
            </w:r>
          </w:p>
        </w:tc>
        <w:tc>
          <w:tcPr>
            <w:tcW w:w="1040" w:type="dxa"/>
            <w:vAlign w:val="bottom"/>
            <w:vMerge w:val="restart"/>
          </w:tcPr>
          <w:p>
            <w:pPr>
              <w:ind w:left="220"/>
              <w:spacing w:after="0"/>
              <w:rPr>
                <w:sz w:val="20"/>
                <w:szCs w:val="20"/>
                <w:color w:val="auto"/>
              </w:rPr>
            </w:pPr>
            <w:r>
              <w:rPr>
                <w:rFonts w:ascii="Arial" w:cs="Arial" w:eastAsia="Arial" w:hAnsi="Arial"/>
                <w:sz w:val="14"/>
                <w:szCs w:val="14"/>
                <w:color w:val="0000FF"/>
              </w:rPr>
              <w:t>05/10/2018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5,923</w:t>
            </w:r>
          </w:p>
        </w:tc>
        <w:tc>
          <w:tcPr>
            <w:tcW w:w="8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02/26/2023</w:t>
            </w:r>
          </w:p>
        </w:tc>
        <w:tc>
          <w:tcPr>
            <w:tcW w:w="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400"/>
              <w:spacing w:after="0"/>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tcPr>
          <w:p>
            <w:pPr>
              <w:ind w:left="80"/>
              <w:spacing w:after="0" w:line="93" w:lineRule="exact"/>
              <w:rPr>
                <w:sz w:val="20"/>
                <w:szCs w:val="20"/>
                <w:color w:val="auto"/>
              </w:rPr>
            </w:pPr>
            <w:r>
              <w:rPr>
                <w:rFonts w:ascii="Arial" w:cs="Arial" w:eastAsia="Arial" w:hAnsi="Arial"/>
                <w:sz w:val="10"/>
                <w:szCs w:val="10"/>
                <w:color w:val="0000FF"/>
              </w:rPr>
              <w:t>par value</w:t>
            </w:r>
          </w:p>
        </w:tc>
        <w:tc>
          <w:tcPr>
            <w:tcW w:w="6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7"/>
        </w:trPr>
        <w:tc>
          <w:tcPr>
            <w:tcW w:w="3800" w:type="dxa"/>
            <w:vAlign w:val="bottom"/>
          </w:tcPr>
          <w:p>
            <w:pPr>
              <w:spacing w:after="0" w:line="137" w:lineRule="exact"/>
              <w:rPr>
                <w:sz w:val="20"/>
                <w:szCs w:val="20"/>
                <w:color w:val="auto"/>
              </w:rPr>
            </w:pPr>
            <w:r>
              <w:rPr>
                <w:rFonts w:ascii="Arial" w:cs="Arial" w:eastAsia="Arial" w:hAnsi="Arial"/>
                <w:sz w:val="14"/>
                <w:szCs w:val="14"/>
                <w:color w:val="0000FF"/>
              </w:rPr>
              <w:t>(Right to</w:t>
            </w:r>
          </w:p>
        </w:tc>
        <w:tc>
          <w:tcPr>
            <w:tcW w:w="3620" w:type="dxa"/>
            <w:vAlign w:val="bottom"/>
            <w:vMerge w:val="restart"/>
          </w:tcPr>
          <w:p>
            <w:pPr>
              <w:jc w:val="right"/>
              <w:spacing w:after="0"/>
              <w:rPr>
                <w:sz w:val="20"/>
                <w:szCs w:val="20"/>
                <w:color w:val="auto"/>
              </w:rPr>
            </w:pPr>
            <w:r>
              <w:rPr>
                <w:rFonts w:ascii="Arial" w:cs="Arial" w:eastAsia="Arial" w:hAnsi="Arial"/>
                <w:sz w:val="14"/>
                <w:szCs w:val="14"/>
                <w:color w:val="0000FF"/>
              </w:rPr>
              <w:t>$0.01</w:t>
            </w:r>
          </w:p>
        </w:tc>
        <w:tc>
          <w:tcPr>
            <w:tcW w:w="0" w:type="dxa"/>
            <w:vAlign w:val="bottom"/>
          </w:tcPr>
          <w:p>
            <w:pPr>
              <w:spacing w:after="0"/>
              <w:rPr>
                <w:sz w:val="1"/>
                <w:szCs w:val="1"/>
                <w:color w:val="auto"/>
              </w:rPr>
            </w:pPr>
          </w:p>
        </w:tc>
      </w:tr>
      <w:tr>
        <w:trPr>
          <w:trHeight w:val="91"/>
        </w:trPr>
        <w:tc>
          <w:tcPr>
            <w:tcW w:w="3800" w:type="dxa"/>
            <w:vAlign w:val="bottom"/>
            <w:vMerge w:val="restart"/>
          </w:tcPr>
          <w:p>
            <w:pPr>
              <w:spacing w:after="0"/>
              <w:rPr>
                <w:sz w:val="20"/>
                <w:szCs w:val="20"/>
                <w:color w:val="auto"/>
              </w:rPr>
            </w:pPr>
            <w:r>
              <w:rPr>
                <w:rFonts w:ascii="Arial" w:cs="Arial" w:eastAsia="Arial" w:hAnsi="Arial"/>
                <w:sz w:val="14"/>
                <w:szCs w:val="14"/>
                <w:color w:val="0000FF"/>
              </w:rPr>
              <w:t>Buy)</w:t>
            </w: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80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$44.05 to $44.20, inclusive. The reporting person undertakes to provide to Boise Cascade Co., any security holder of Boise Cascade Co., or the staff of the Securities and Exchange Commission, upon request, full information regarding the number of shares sold at each separate price within the range set forth in footnote (1) to this Form 4.</w:t>
      </w:r>
    </w:p>
    <w:p>
      <w:pPr>
        <w:sectPr>
          <w:pgSz w:w="11900" w:h="16838" w:orient="portrait"/>
          <w:cols w:equalWidth="0" w:num="1">
            <w:col w:w="11520"/>
          </w:cols>
          <w:pgMar w:left="240" w:top="226" w:right="139" w:bottom="1440" w:gutter="0" w:footer="0" w:header="0"/>
          <w:type w:val="continuous"/>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2. The 2013 stock option of 5,923 shares vested in three equal annual installments beginning on February 26, 2014.</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John T. Sahlberg,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709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5"/>
          <w:szCs w:val="15"/>
          <w:color w:val="0000FF"/>
        </w:rPr>
        <w:t>05/10/2018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2058" TargetMode="External"/><Relationship Id="rId13" Type="http://schemas.openxmlformats.org/officeDocument/2006/relationships/hyperlink" Target="http://www.sec.gov/cgi-bin/browse-edgar?action=getcompany&amp;CIK=0001328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2019-12-04T02:16:17Z</dcterms:created>
  <dcterms:modified xsi:type="dcterms:W3CDTF">2019-12-04T02:16:17Z</dcterms:modified>
</cp:coreProperties>
</file>