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SAHLBERG JOHN T.</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BOISE CASCADE Co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BCC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5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C/O BOISE CASCADE COMPANY</w:t>
            </w:r>
          </w:p>
        </w:tc>
        <w:tc>
          <w:tcPr>
            <w:tcW w:w="2140" w:type="dxa"/>
            <w:vAlign w:val="bottom"/>
            <w:gridSpan w:val="3"/>
          </w:tcPr>
          <w:p>
            <w:pPr>
              <w:ind w:left="160"/>
              <w:spacing w:after="0"/>
              <w:rPr>
                <w:sz w:val="20"/>
                <w:szCs w:val="20"/>
                <w:color w:val="auto"/>
              </w:rPr>
            </w:pPr>
            <w:r>
              <w:rPr>
                <w:rFonts w:ascii="Arial" w:cs="Arial" w:eastAsia="Arial" w:hAnsi="Arial"/>
                <w:sz w:val="18"/>
                <w:szCs w:val="18"/>
                <w:color w:val="0000FF"/>
              </w:rPr>
              <w:t>02/25/2015</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1111 WEST JEFFERSON STREET, SUITE 300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SVP and General Counsel</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BOISE</w:t>
            </w: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rPr>
              <w:t>ID</w:t>
            </w:r>
          </w:p>
        </w:tc>
        <w:tc>
          <w:tcPr>
            <w:tcW w:w="10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83702</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02/25/2015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85"/>
              </w:rPr>
              <w:t>5,529</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13,838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02/25/2015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85"/>
              </w:rPr>
              <w:t>5,318</w:t>
            </w:r>
            <w:r>
              <w:rPr>
                <w:rFonts w:ascii="Arial" w:cs="Arial" w:eastAsia="Arial" w:hAnsi="Arial"/>
                <w:sz w:val="22"/>
                <w:szCs w:val="22"/>
                <w:color w:val="008000"/>
                <w:w w:val="85"/>
                <w:vertAlign w:val="superscript"/>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19,156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02/26/2015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79"/>
              </w:rPr>
              <w:t>617</w:t>
            </w:r>
            <w:r>
              <w:rPr>
                <w:rFonts w:ascii="Arial" w:cs="Arial" w:eastAsia="Arial" w:hAnsi="Arial"/>
                <w:sz w:val="22"/>
                <w:szCs w:val="22"/>
                <w:color w:val="008000"/>
                <w:w w:val="79"/>
                <w:vertAlign w:val="superscript"/>
              </w:rPr>
              <w:t>(3)</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36.17</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18,539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0" w:type="dxa"/>
            <w:vAlign w:val="bottom"/>
            <w:gridSpan w:val="11"/>
          </w:tcPr>
          <w:p>
            <w:pPr>
              <w:jc w:val="center"/>
              <w:ind w:left="2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underlying restricted stock unit awards issued pursuant to the registrant's 2013 Incentive Compensation Plan. Shares issued under the restricted stock units will vest and be deliverable in three equal tranches on March 1, 2016, 2017, and 2018. However, 100% of restricted stock units granted to retirement-eligible employees (age 62 or older with 15 years of service, or age 65 or older) vest on the later of March 1, 2016 or the date upon which they become retirement eligible.</w:t>
      </w:r>
    </w:p>
    <w:p>
      <w:pPr>
        <w:spacing w:after="0" w:line="30" w:lineRule="exact"/>
        <w:rPr>
          <w:rFonts w:ascii="Arial" w:cs="Arial" w:eastAsia="Arial" w:hAnsi="Arial"/>
          <w:sz w:val="14"/>
          <w:szCs w:val="14"/>
          <w:color w:val="008000"/>
        </w:rPr>
      </w:pPr>
    </w:p>
    <w:p>
      <w:pPr>
        <w:ind w:left="40" w:right="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underlying performance stock unit awards issued pursuant to the registrant's 2013 Incentive Compensation Plan. The number of shares issued under the performance stock units was determined based upon 2014 EBITDA, defined as income before interest (interest expense and interest income), income taxes, and depreciation and amortization. One third of the shares vested on February 25, 2015, while the remaining two thirds will vest and be deliverable in two equal tranches on December 31, 2015 and December 31, 2016, subject to retirement eligibility as outlined above in footnote (1).</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withheld for taxes upon the satisfaction of the time and performance vesting conditions with respect to the 2014 performance stock unit award.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0000FF"/>
                <w:w w:val="85"/>
              </w:rPr>
              <w:t>/s/ John T. Sahlberg</w:t>
            </w:r>
          </w:p>
        </w:tc>
        <w:tc>
          <w:tcPr>
            <w:tcW w:w="7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02/27/2015</w:t>
            </w: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4249" TargetMode="External"/><Relationship Id="rId13" Type="http://schemas.openxmlformats.org/officeDocument/2006/relationships/hyperlink" Target="http://www.sec.gov/cgi-bin/browse-edgar?action=getcompany&amp;CIK=0001328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2019-12-08T13:22:32Z</dcterms:created>
  <dcterms:modified xsi:type="dcterms:W3CDTF">2019-12-08T13:22:32Z</dcterms:modified>
</cp:coreProperties>
</file>