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CURRENT REPORT</w: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p>
      <w:pPr>
        <w:pStyle w:val="TextBody"/>
        <w:bidi w:val="0"/>
        <w:spacing w:lineRule="auto" w:line="288" w:before="180" w:after="180"/>
        <w:jc w:val="center"/>
        <w:rPr/>
      </w:pPr>
      <w:r>
        <w:rPr>
          <w:rFonts w:ascii="Arial;sans-serif" w:hAnsi="Arial;sans-serif"/>
          <w:b w:val="false"/>
          <w:color w:val="000000"/>
          <w:sz w:val="20"/>
        </w:rPr>
        <w:t>Date of Report (Date of Earliest Event Reported):</w:t>
      </w:r>
      <w:r>
        <w:rPr>
          <w:color w:val="000000"/>
        </w:rPr>
        <w:t xml:space="preserve"> </w:t>
      </w:r>
      <w:r>
        <w:rPr>
          <w:rFonts w:ascii="Arial;sans-serif" w:hAnsi="Arial;sans-serif"/>
          <w:b w:val="false"/>
          <w:color w:val="000000"/>
          <w:sz w:val="20"/>
        </w:rPr>
        <w:t>August 3, 2026</w:t>
      </w:r>
      <w:r>
        <w:rPr>
          <w:color w:val="000000"/>
        </w:rPr>
        <w:t xml:space="preserve"> </w:t>
      </w:r>
    </w:p>
    <w:p>
      <w:pPr>
        <w:pStyle w:val="TextBody"/>
        <w:bidi w:val="0"/>
        <w:spacing w:lineRule="auto" w:line="417" w:before="0" w:after="0"/>
        <w:jc w:val="center"/>
        <w:rPr>
          <w:rFonts w:ascii="Arial;sans-serif" w:hAnsi="Arial;sans-serif"/>
          <w:b/>
          <w:color w:val="000000"/>
          <w:sz w:val="24"/>
        </w:rPr>
      </w:pPr>
      <w:r>
        <w:rPr>
          <w:rFonts w:ascii="Arial;sans-serif" w:hAnsi="Arial;sans-serif"/>
          <w:b/>
          <w:color w:val="000000"/>
          <w:sz w:val="24"/>
        </w:rPr>
        <w:t xml:space="preserve">BOISE CASCADE COMPANY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892" w:type="dxa"/>
        <w:jc w:val="center"/>
        <w:tblInd w:w="0" w:type="dxa"/>
        <w:tblLayout w:type="fixed"/>
        <w:tblCellMar>
          <w:top w:w="28" w:type="dxa"/>
          <w:left w:w="28" w:type="dxa"/>
          <w:bottom w:w="28" w:type="dxa"/>
          <w:right w:w="28" w:type="dxa"/>
        </w:tblCellMar>
      </w:tblPr>
      <w:tblGrid>
        <w:gridCol w:w="1377"/>
        <w:gridCol w:w="1210"/>
        <w:gridCol w:w="1222"/>
        <w:gridCol w:w="109"/>
        <w:gridCol w:w="109"/>
        <w:gridCol w:w="109"/>
        <w:gridCol w:w="802"/>
        <w:gridCol w:w="802"/>
        <w:gridCol w:w="810"/>
        <w:gridCol w:w="109"/>
        <w:gridCol w:w="109"/>
        <w:gridCol w:w="109"/>
        <w:gridCol w:w="880"/>
        <w:gridCol w:w="880"/>
        <w:gridCol w:w="1255"/>
      </w:tblGrid>
      <w:tr>
        <w:trPr/>
        <w:tc>
          <w:tcPr>
            <w:tcW w:w="137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1-35805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0000"/>
                <w:sz w:val="20"/>
              </w:rPr>
            </w:pPr>
            <w:r>
              <w:rPr>
                <w:rFonts w:ascii="Arial;sans-serif" w:hAnsi="Arial;sans-serif"/>
                <w:b/>
                <w:color w:val="000000"/>
                <w:sz w:val="20"/>
              </w:rPr>
              <w:t>20-1496201</w:t>
            </w:r>
          </w:p>
        </w:tc>
      </w:tr>
      <w:tr>
        <w:trPr/>
        <w:tc>
          <w:tcPr>
            <w:tcW w:w="38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1111 West Jefferson Street, Suite 300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Boise, Idaho 83702-5389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(Address of principal executive offices) (Zip Code)</w:t>
      </w: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 xml:space="preserve">(208) 384-6161 </w:t>
      </w:r>
    </w:p>
    <w:p>
      <w:pPr>
        <w:pStyle w:val="TextBody"/>
        <w:bidi w:val="0"/>
        <w:spacing w:lineRule="auto" w:line="288" w:before="60" w:after="60"/>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p>
      <w:pPr>
        <w:pStyle w:val="TextBody"/>
        <w:bidi w:val="0"/>
        <w:spacing w:before="60" w:after="60"/>
        <w:jc w:val="center"/>
        <w:rPr/>
      </w:pPr>
      <w:r>
        <w:rPr/>
      </w:r>
    </w:p>
    <w:p>
      <w:pPr>
        <w:pStyle w:val="TextBody"/>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center"/>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Securities registered pursuant to Section 12(b) of the Act: </w:t>
      </w:r>
    </w:p>
    <w:tbl>
      <w:tblPr>
        <w:tblW w:w="9882" w:type="dxa"/>
        <w:jc w:val="center"/>
        <w:tblInd w:w="0" w:type="dxa"/>
        <w:tblLayout w:type="fixed"/>
        <w:tblCellMar>
          <w:top w:w="28" w:type="dxa"/>
          <w:left w:w="28" w:type="dxa"/>
          <w:bottom w:w="28" w:type="dxa"/>
          <w:right w:w="28" w:type="dxa"/>
        </w:tblCellMar>
      </w:tblPr>
      <w:tblGrid>
        <w:gridCol w:w="1370"/>
        <w:gridCol w:w="1206"/>
        <w:gridCol w:w="1218"/>
        <w:gridCol w:w="609"/>
        <w:gridCol w:w="609"/>
        <w:gridCol w:w="611"/>
        <w:gridCol w:w="1245"/>
        <w:gridCol w:w="1245"/>
        <w:gridCol w:w="1769"/>
      </w:tblGrid>
      <w:tr>
        <w:trPr/>
        <w:tc>
          <w:tcPr>
            <w:tcW w:w="137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Name of each exchange on which registered</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$0.01 par value per share</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BCC</w:t>
            </w:r>
          </w:p>
        </w:tc>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bl>
    <w:p>
      <w:pPr>
        <w:pStyle w:val="TextBody"/>
        <w:bidi w:val="0"/>
        <w:spacing w:before="100" w:after="283"/>
        <w:jc w:val="center"/>
        <w:rPr/>
      </w:pPr>
      <w:r>
        <w:rPr/>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60" w:after="60"/>
        <w:jc w:val="left"/>
        <w:rPr/>
      </w:pPr>
      <w:r>
        <w:rPr>
          <w:rFonts w:ascii="Arial;sans-serif" w:hAnsi="Arial;sans-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August 3, 2026, Boise Cascade Company ("Boise Cascade" or the "Company") issued a press release announcing its second quarter 2026 financial results, a copy of which is furnished as Exhibit 99.1 to this Report on Form 8-K. Additionally, Exhibit 99.2, a copy of which is attached hereto, includes certain statistical information related to the Company's quarterly performance.</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Item 8.01 Other Events.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August 3, 2026, the Company announced that its wholly owned subsidiary, Boise Cascade Building Materials Distribution, L.L.C. (the “Distributor”) entered into a Distribution Agreement (the “Agreement”) with James Hardie Building Products, Inc., on behalf of itself and certain of its affiliates (the “Supplier”), effective July 31, 2026 (the “Effective Date”), pursuant to which the Supplier appointed the Distributor as its sole full-line national distributor of the complete portfolio of exterior building products, and any new or revised product or product category that the Supplier offers and the Distributor accepts for distribution during the term of the Agreement (collectively, the “Products”).</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Distributor has committed under the Agreement to purchase all of its requirements of the Products exclusively from the Supplier and to offer, sell, and market all Products manufactured by the Supplier or its affiliate(s), at all of its existing and future locations. Subject to certain exceptions, the Distributor has agreed not to stock, advertise, promote, sell, distribute, install or market specified competing products at designated branches.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addition, the Agreement provides for various incentives and support payments from the Supplier to the Distributor to mitigate the financial impact that the Distributor incurs from transitioning from competitive product lines to the Products.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initial term of the Agreement began on the Effective Date and continues for 10 years, unless earlier terminated in accordance with the Agreement. The Agreement does not automatically renew; instead, upon expiration of the initial term, the parties may mutually agree in writing to renew the Agreement, and if the parties are unable to reach an agreement regarding renewal, the Agreement terminates upon expiration of the then-current term.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Agreement may be terminated upon mutual agreement of the Distributor and the Supplier, or by either party if the other party materially breaches the Agreement, subject to notice and cure periods, or upon the insolvency, bankruptcy, or certain similar events affecting the other party. After the initial 39 months following the Effective Date, either party may terminate the Agreement in the event of a material strategic business change to a party's business, the market, or that substantially and adversely affects the notifying party’s ability to perform its material obligations under the Agreement, subject to a notice period and opportunity for the other party to address the notifying party’s concerns.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Company has guaranteed the performance of all obligations of the Distributor under the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furnished as part of this Report on Form 8-K:</w:t>
      </w:r>
    </w:p>
    <w:tbl>
      <w:tblPr>
        <w:tblW w:w="7830" w:type="dxa"/>
        <w:jc w:val="left"/>
        <w:tblInd w:w="0" w:type="dxa"/>
        <w:tblLayout w:type="fixed"/>
        <w:tblCellMar>
          <w:top w:w="28" w:type="dxa"/>
          <w:left w:w="28" w:type="dxa"/>
          <w:bottom w:w="28" w:type="dxa"/>
          <w:right w:w="28" w:type="dxa"/>
        </w:tblCellMar>
      </w:tblPr>
      <w:tblGrid>
        <w:gridCol w:w="283"/>
        <w:gridCol w:w="248"/>
        <w:gridCol w:w="250"/>
        <w:gridCol w:w="2063"/>
        <w:gridCol w:w="2063"/>
        <w:gridCol w:w="2923"/>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Exhibit</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Description</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exhibit9916302026.htm">
              <w:r>
                <w:rPr>
                  <w:rStyle w:val="InternetLink"/>
                  <w:rFonts w:ascii="Arial;sans-serif" w:hAnsi="Arial;sans-serif"/>
                  <w:b w:val="false"/>
                  <w:color w:val="0000FF"/>
                  <w:sz w:val="20"/>
                  <w:u w:val="single"/>
                </w:rPr>
                <w:t>99.1</w:t>
              </w:r>
            </w:hyperlink>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exhibit9916302026.htm">
              <w:r>
                <w:rPr>
                  <w:rStyle w:val="InternetLink"/>
                  <w:rFonts w:ascii="Arial;sans-serif" w:hAnsi="Arial;sans-serif"/>
                  <w:b w:val="false"/>
                  <w:color w:val="000080"/>
                  <w:sz w:val="20"/>
                  <w:u w:val="single"/>
                </w:rPr>
                <w:t xml:space="preserve">Boise Cascade Company Earnings Release dated </w:t>
              </w:r>
            </w:hyperlink>
            <w:hyperlink w:anchor="bccexhibit9916302026.htm">
              <w:r>
                <w:rPr>
                  <w:rStyle w:val="InternetLink"/>
                  <w:rFonts w:ascii="Arial;sans-serif" w:hAnsi="Arial;sans-serif"/>
                  <w:b w:val="false"/>
                  <w:color w:val="000080"/>
                  <w:sz w:val="20"/>
                  <w:u w:val="single"/>
                </w:rPr>
                <w:t>August</w:t>
              </w:r>
            </w:hyperlink>
            <w:hyperlink w:anchor="bccexhibit9916302026.htm">
              <w:r>
                <w:rPr>
                  <w:rStyle w:val="InternetLink"/>
                  <w:rFonts w:ascii="Arial;sans-serif" w:hAnsi="Arial;sans-serif"/>
                  <w:b w:val="false"/>
                  <w:color w:val="000080"/>
                  <w:sz w:val="20"/>
                  <w:u w:val="single"/>
                </w:rPr>
                <w:t xml:space="preserve"> </w:t>
              </w:r>
            </w:hyperlink>
            <w:hyperlink w:anchor="bccexhibit9916302026.htm">
              <w:r>
                <w:rPr>
                  <w:rStyle w:val="InternetLink"/>
                  <w:rFonts w:ascii="Arial;sans-serif" w:hAnsi="Arial;sans-serif"/>
                  <w:b w:val="false"/>
                  <w:color w:val="000080"/>
                  <w:sz w:val="20"/>
                  <w:u w:val="single"/>
                </w:rPr>
                <w:t>3</w:t>
              </w:r>
            </w:hyperlink>
            <w:hyperlink w:anchor="bccexhibit9916302026.htm">
              <w:r>
                <w:rPr>
                  <w:rStyle w:val="InternetLink"/>
                  <w:rFonts w:ascii="Arial;sans-serif" w:hAnsi="Arial;sans-serif"/>
                  <w:b w:val="false"/>
                  <w:color w:val="000080"/>
                  <w:sz w:val="20"/>
                  <w:u w:val="single"/>
                </w:rPr>
                <w:t>, 2026.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exhibit9926302026.htm">
              <w:r>
                <w:rPr>
                  <w:rStyle w:val="InternetLink"/>
                  <w:rFonts w:ascii="Arial;sans-serif" w:hAnsi="Arial;sans-serif"/>
                  <w:b w:val="false"/>
                  <w:color w:val="0000FF"/>
                  <w:sz w:val="20"/>
                  <w:u w:val="single"/>
                </w:rPr>
                <w:t>99.2</w:t>
              </w:r>
            </w:hyperlink>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exhibit9926302026.htm">
              <w:r>
                <w:rPr>
                  <w:rStyle w:val="InternetLink"/>
                  <w:rFonts w:ascii="Arial;sans-serif" w:hAnsi="Arial;sans-serif"/>
                  <w:b w:val="false"/>
                  <w:color w:val="0000FF"/>
                  <w:sz w:val="20"/>
                  <w:u w:val="single"/>
                </w:rPr>
                <w:t>Boise Cascade Company Quarterly Statistical Information.</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ex993jointpressrelease.htm">
              <w:r>
                <w:rPr>
                  <w:rStyle w:val="InternetLink"/>
                  <w:rFonts w:ascii="Arial;sans-serif" w:hAnsi="Arial;sans-serif"/>
                  <w:b w:val="false"/>
                  <w:color w:val="0000FF"/>
                  <w:sz w:val="20"/>
                  <w:u w:val="single"/>
                </w:rPr>
                <w:t>99.3</w:t>
              </w:r>
            </w:hyperlink>
          </w:p>
        </w:tc>
        <w:tc>
          <w:tcPr>
            <w:tcW w:w="7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ccex993jointpressrelease.htm">
              <w:r>
                <w:rPr>
                  <w:rStyle w:val="InternetLink"/>
                  <w:rFonts w:ascii="Arial;sans-serif" w:hAnsi="Arial;sans-serif"/>
                  <w:b w:val="false"/>
                  <w:color w:val="0000FF"/>
                  <w:sz w:val="20"/>
                  <w:u w:val="single"/>
                </w:rPr>
                <w:t>Boise Cascade Company Press Release, dated August 3, 2026.</w:t>
              </w:r>
            </w:hyperlink>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70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center"/>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tbl>
      <w:tblPr>
        <w:tblW w:w="8870" w:type="dxa"/>
        <w:jc w:val="center"/>
        <w:tblInd w:w="0" w:type="dxa"/>
        <w:tblLayout w:type="fixed"/>
        <w:tblCellMar>
          <w:top w:w="28" w:type="dxa"/>
          <w:left w:w="28" w:type="dxa"/>
          <w:bottom w:w="28" w:type="dxa"/>
          <w:right w:w="28" w:type="dxa"/>
        </w:tblCellMar>
      </w:tblPr>
      <w:tblGrid>
        <w:gridCol w:w="711"/>
        <w:gridCol w:w="624"/>
        <w:gridCol w:w="630"/>
        <w:gridCol w:w="437"/>
        <w:gridCol w:w="437"/>
        <w:gridCol w:w="437"/>
        <w:gridCol w:w="1623"/>
        <w:gridCol w:w="1623"/>
        <w:gridCol w:w="2348"/>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BOISE CASCADE COMPANY</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5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Jill Twedt</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Jill Twedt</w:t>
            </w:r>
          </w:p>
          <w:p>
            <w:pPr>
              <w:pStyle w:val="TableContents"/>
              <w:bidi w:val="0"/>
              <w:spacing w:lineRule="auto" w:line="240" w:before="100" w:after="100"/>
              <w:jc w:val="left"/>
              <w:rPr>
                <w:rFonts w:ascii="Arial;sans-serif" w:hAnsi="Arial;sans-serif"/>
                <w:b w:val="false"/>
                <w:color w:val="000000"/>
                <w:sz w:val="20"/>
              </w:rPr>
            </w:pPr>
            <w:r>
              <w:rPr>
                <w:rFonts w:ascii="Arial;sans-serif" w:hAnsi="Arial;sans-serif"/>
                <w:b w:val="false"/>
                <w:color w:val="000000"/>
                <w:sz w:val="20"/>
              </w:rPr>
              <w:t>Senior Vice President, General Counsel &amp; Corporate Secretary</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3, 2026</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5891" w:type="dxa"/>
        <w:jc w:val="left"/>
        <w:tblInd w:w="0" w:type="dxa"/>
        <w:tblLayout w:type="fixed"/>
        <w:tblCellMar>
          <w:top w:w="28" w:type="dxa"/>
          <w:left w:w="28" w:type="dxa"/>
          <w:bottom w:w="28" w:type="dxa"/>
          <w:right w:w="28" w:type="dxa"/>
        </w:tblCellMar>
      </w:tblPr>
      <w:tblGrid>
        <w:gridCol w:w="1153"/>
        <w:gridCol w:w="1010"/>
        <w:gridCol w:w="1017"/>
        <w:gridCol w:w="792"/>
        <w:gridCol w:w="792"/>
        <w:gridCol w:w="1127"/>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Boise Cascade Company</w:t>
            </w:r>
          </w:p>
        </w:tc>
        <w:tc>
          <w:tcPr>
            <w:tcW w:w="27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99.1</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1111 West Jefferson Street, Suite 300</w:t>
            </w:r>
          </w:p>
        </w:tc>
        <w:tc>
          <w:tcPr>
            <w:tcW w:w="2711"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638300" cy="942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38300" cy="942975"/>
                          </a:xfrm>
                          <a:prstGeom prst="rect">
                            <a:avLst/>
                          </a:prstGeom>
                        </pic:spPr>
                      </pic:pic>
                    </a:graphicData>
                  </a:graphic>
                </wp:inline>
              </w:drawing>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Boise, ID 83702</w:t>
            </w:r>
          </w:p>
        </w:tc>
        <w:tc>
          <w:tcPr>
            <w:tcW w:w="2711" w:type="dxa"/>
            <w:gridSpan w:val="3"/>
            <w:vMerge w:val="continue"/>
            <w:tcBorders/>
            <w:tcMar>
              <w:top w:w="0" w:type="dxa"/>
              <w:left w:w="0" w:type="dxa"/>
              <w:bottom w:w="0" w:type="dxa"/>
              <w:right w:w="0" w:type="dxa"/>
            </w:tcMar>
            <w:vAlign w:val="center"/>
          </w:tcPr>
          <w:p>
            <w:pPr>
              <w:pStyle w:val="Normal"/>
              <w:bidi w:val="0"/>
              <w:jc w:val="left"/>
              <w:rPr/>
            </w:pPr>
            <w:r>
              <w:rPr/>
            </w:r>
          </w:p>
        </w:tc>
      </w:tr>
    </w:tbl>
    <w:tbl>
      <w:tblPr>
        <w:tblW w:w="5294" w:type="dxa"/>
        <w:jc w:val="left"/>
        <w:tblInd w:w="0" w:type="dxa"/>
        <w:tblLayout w:type="fixed"/>
        <w:tblCellMar>
          <w:top w:w="28" w:type="dxa"/>
          <w:left w:w="28" w:type="dxa"/>
          <w:bottom w:w="28" w:type="dxa"/>
          <w:right w:w="28" w:type="dxa"/>
        </w:tblCellMar>
      </w:tblPr>
      <w:tblGrid>
        <w:gridCol w:w="1696"/>
        <w:gridCol w:w="1490"/>
        <w:gridCol w:w="2108"/>
      </w:tblGrid>
      <w:tr>
        <w:trPr/>
        <w:tc>
          <w:tcPr>
            <w:tcW w:w="16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48"/>
              </w:rPr>
            </w:pPr>
            <w:r>
              <w:rPr>
                <w:rFonts w:ascii="Arial;sans-serif" w:hAnsi="Arial;sans-serif"/>
                <w:b w:val="false"/>
                <w:color w:val="000000"/>
                <w:sz w:val="48"/>
              </w:rPr>
              <w:t>Press Release</w:t>
            </w:r>
          </w:p>
        </w:tc>
      </w:tr>
      <w:tr>
        <w:trPr/>
        <w:tc>
          <w:tcPr>
            <w:tcW w:w="52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8"/>
              </w:rPr>
            </w:pPr>
            <w:r>
              <w:rPr>
                <w:rFonts w:ascii="Arial;sans-serif" w:hAnsi="Arial;sans-serif"/>
                <w:b w:val="false"/>
                <w:color w:val="000000"/>
                <w:sz w:val="28"/>
              </w:rPr>
              <w:t>For Immediate Release: August 3, 2026</w:t>
            </w:r>
          </w:p>
        </w:tc>
      </w:tr>
    </w:tbl>
    <w:tbl>
      <w:tblPr>
        <w:tblW w:w="4229" w:type="dxa"/>
        <w:jc w:val="left"/>
        <w:tblInd w:w="0" w:type="dxa"/>
        <w:tblLayout w:type="fixed"/>
        <w:tblCellMar>
          <w:top w:w="28" w:type="dxa"/>
          <w:left w:w="28" w:type="dxa"/>
          <w:bottom w:w="28" w:type="dxa"/>
          <w:right w:w="28" w:type="dxa"/>
        </w:tblCellMar>
      </w:tblPr>
      <w:tblGrid>
        <w:gridCol w:w="598"/>
        <w:gridCol w:w="526"/>
        <w:gridCol w:w="527"/>
        <w:gridCol w:w="109"/>
        <w:gridCol w:w="109"/>
        <w:gridCol w:w="109"/>
        <w:gridCol w:w="659"/>
        <w:gridCol w:w="659"/>
        <w:gridCol w:w="933"/>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60" w:after="60"/>
              <w:jc w:val="left"/>
              <w:rPr/>
            </w:pPr>
            <w:r>
              <w:rPr/>
            </w:r>
          </w:p>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Investor Contact</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Chris Forrey</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investor@bc.com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60" w:after="60"/>
              <w:jc w:val="right"/>
              <w:rPr>
                <w:rFonts w:ascii="Arial;sans-serif" w:hAnsi="Arial;sans-serif"/>
                <w:b/>
                <w:color w:val="000000"/>
                <w:sz w:val="20"/>
              </w:rPr>
            </w:pPr>
            <w:r>
              <w:rPr>
                <w:rFonts w:ascii="Arial;sans-serif" w:hAnsi="Arial;sans-serif"/>
                <w:b/>
                <w:color w:val="000000"/>
                <w:sz w:val="20"/>
              </w:rPr>
              <w:t xml:space="preserve">Media Contact </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Amy Evans</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mediarelations@bc.com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8"/>
        </w:rPr>
      </w:pPr>
      <w:r>
        <w:rPr>
          <w:rFonts w:ascii="Arial;sans-serif" w:hAnsi="Arial;sans-serif"/>
          <w:b/>
          <w:color w:val="000000"/>
          <w:sz w:val="28"/>
        </w:rPr>
        <w:t>Boise Cascade Company Reports Second Quarter 2026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BOISE, IDAHO - August 3, 2026 - Boise Cascade Company ("Boise Cascade," the "Company," "we," or "our") (NYSE: BCC) today reported net income of $57.3 million, or $1.63 per share, on sales of $1.8 billion for the second quarter ended June 30, 2026, compared with net income of $62.0 million, or $1.64 per share, on sales of $1.7 billion for the second quarter ended June 30, 2025. Second quarter 2025 results included $5.8 million of after-tax gains, or $0.15 per share, on the sale of non-operating properties.</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w:t>
      </w:r>
      <w:r>
        <w:rPr>
          <w:rFonts w:ascii="Arial;sans-serif" w:hAnsi="Arial;sans-serif"/>
          <w:b w:val="false"/>
          <w:color w:val="000000"/>
          <w:sz w:val="20"/>
        </w:rPr>
        <w:t>I am excited to announce an outstanding second quarter, in what continues to be a mixed demand backdrop. These results reflect the power of our people and the service capabilities that our integrated model delivers to the marketplace,” said Jeff Strom, CEO. “By combining nationwide scale with strong local support, we delivered the reliable service and consistent value our customers have come to expect from us across a broad mix of industry-leading building materials. The recent announcement of our expanded partnership with James Hardie to become the sole nationwide distributor of their full portfolio of industry-leading exterior and outdoor building products further strengthens our ability to distinguish ourselves in the marketplace. Looking ahead, we will continue to advance strategic priorities that position us to grow share, drive efficiencies, and return capital to shareholders while supporting our customers’ and suppliers’ success.”</w:t>
      </w:r>
    </w:p>
    <w:p>
      <w:pPr>
        <w:pStyle w:val="TextBody"/>
        <w:bidi w:val="0"/>
        <w:spacing w:before="60" w:after="283"/>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Second Quarter 2026 Highlights</w:t>
      </w:r>
    </w:p>
    <w:tbl>
      <w:tblPr>
        <w:tblW w:w="9480" w:type="dxa"/>
        <w:jc w:val="left"/>
        <w:tblInd w:w="0" w:type="dxa"/>
        <w:tblLayout w:type="fixed"/>
        <w:tblCellMar>
          <w:top w:w="28" w:type="dxa"/>
          <w:left w:w="28" w:type="dxa"/>
          <w:bottom w:w="28" w:type="dxa"/>
          <w:right w:w="28" w:type="dxa"/>
        </w:tblCellMar>
      </w:tblPr>
      <w:tblGrid>
        <w:gridCol w:w="1309"/>
        <w:gridCol w:w="1150"/>
        <w:gridCol w:w="1155"/>
        <w:gridCol w:w="109"/>
        <w:gridCol w:w="109"/>
        <w:gridCol w:w="109"/>
        <w:gridCol w:w="234"/>
        <w:gridCol w:w="1135"/>
        <w:gridCol w:w="121"/>
        <w:gridCol w:w="121"/>
        <w:gridCol w:w="121"/>
        <w:gridCol w:w="121"/>
        <w:gridCol w:w="234"/>
        <w:gridCol w:w="1135"/>
        <w:gridCol w:w="121"/>
        <w:gridCol w:w="121"/>
        <w:gridCol w:w="121"/>
        <w:gridCol w:w="121"/>
        <w:gridCol w:w="244"/>
        <w:gridCol w:w="244"/>
        <w:gridCol w:w="646"/>
        <w:gridCol w:w="109"/>
        <w:gridCol w:w="109"/>
        <w:gridCol w:w="109"/>
        <w:gridCol w:w="109"/>
        <w:gridCol w:w="109"/>
        <w:gridCol w:w="154"/>
      </w:tblGrid>
      <w:tr>
        <w:trPr/>
        <w:tc>
          <w:tcPr>
            <w:tcW w:w="130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2Q 2026</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2Q 2025</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per-share data and percentages)</w:t>
            </w:r>
          </w:p>
        </w:tc>
        <w:tc>
          <w:tcPr>
            <w:tcW w:w="699" w:type="dxa"/>
            <w:gridSpan w:val="6"/>
            <w:tcBorders/>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Consolidated Results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1,831,335 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1,740,114 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61,985 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common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Adjusted EBITDA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126,240 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Results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Materials Distribution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1,697,494 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1,614,915 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Materials Distribution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78,033 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Building Materials Distribution EBITDA </w:t>
            </w:r>
            <w:r>
              <w:rPr>
                <w:rFonts w:ascii="Arial;sans-serif" w:hAnsi="Arial;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Wood Products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459,603 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447,235 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Wood Products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Wood Products EBITDA </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Arial;sans-serif" w:hAnsi="Arial;sans-serif"/>
          <w:b w:val="false"/>
          <w:color w:val="000000"/>
          <w:sz w:val="13"/>
        </w:rPr>
        <w:t xml:space="preserve">1 </w:t>
      </w:r>
      <w:r>
        <w:rPr>
          <w:rFonts w:ascii="Arial;sans-serif" w:hAnsi="Arial;sans-serif"/>
          <w:b w:val="false"/>
          <w:color w:val="000000"/>
          <w:sz w:val="16"/>
        </w:rPr>
        <w:t>For reconciliations of non-GAAP measures, see summary notes at the end of this press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second quarter 2026, total U.S. housing starts and single-family housing starts decreased 1% and 4%, respectively, compared to the same period in 2025. On a year-to-date basis through June 2026, total U.S. housing starts were flat, while single-family housing starts decreased 5% compared to the same period in 2025. Single-family housing starts are the key demand driver for our sales.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Building Materials Distribution (BMD)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BMD's sales increased $82.6 million, or 5%, to $1,697.5 million for the three months ended June 30, 2026, from $1,614.9 million for the three months ended June 30, 2025. The overall increase in sales was driven by net sales volume and net sales price increases of 4% and 1%, respectively. By product line, general line product sales increased 9%, commodity sales increased 7%, and EWP sales (substantially all of which are sourced through our Wood Products segment) decreased 6%. BMD segment income decreased $7.9 million to $70.1 million for the three months ended June 30, 2026, from $78.0 million for the three months ended June 30, 2025.</w:t>
      </w:r>
      <w:r>
        <w:rPr>
          <w:color w:val="0094FF"/>
        </w:rPr>
        <w:t xml:space="preserve"> </w:t>
      </w:r>
      <w:r>
        <w:rPr>
          <w:rFonts w:ascii="Arial;sans-serif" w:hAnsi="Arial;sans-serif"/>
          <w:b w:val="false"/>
          <w:color w:val="000000"/>
          <w:sz w:val="20"/>
        </w:rPr>
        <w:t xml:space="preserve">The decrease in segment income was driven by increased selling and distribution expenses and depreciation and amortization expense of $10.8 million and $1.7 million, respectively. Additionally, segment income in second quarter 2025 benefited from a $3.8 million gain on the sale of a non-operating property. These decreases in segment income were offset partially by a gross margin increase of $9.2 million, resulting from higher gross margins on commodity and general line products, which were offset partially by lower gross margins on EWP.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Wood Products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Wood Products' sales, including sales to BMD, increased $12.4 million, or 3%, to $459.6 million for the three months ended June 30, 2026, from $447.2 million for the three months ended June 30, 2025. The increase in sales was primarily driven by higher plywood sales prices and sales volumes.</w:t>
      </w:r>
      <w:r>
        <w:rPr>
          <w:color w:val="0094FF"/>
        </w:rPr>
        <w:t xml:space="preserve"> </w:t>
      </w:r>
      <w:r>
        <w:rPr>
          <w:rFonts w:ascii="Arial;sans-serif" w:hAnsi="Arial;sans-serif"/>
          <w:b w:val="false"/>
          <w:color w:val="000000"/>
          <w:sz w:val="20"/>
        </w:rPr>
        <w:t>These increases were offset partially by lower sales prices and sales volumes for I-joists and LVL (collectively referred to as EWP). Wood Products' segment income increased $11.7 million to $25.7 million for the three months ended June 30, 2026, from $14.0 million for the three months ended June 30, 2025. The increase in segment income was primarily due to higher plywood sales prices and sales volumes, as well as lower per-unit OSB costs. These increases in segment income were offset partially by lower EWP sales prices and higher per-unit conversion costs. Additionally, segment income in second quarter 2025 benefited from a $3.9 million gain on the sale of a non-operating property.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Comparative average net selling prices and sales volume changes for EWP and plywood are as follows:</w:t>
      </w:r>
    </w:p>
    <w:p>
      <w:pPr>
        <w:pStyle w:val="TextBody"/>
        <w:bidi w:val="0"/>
        <w:spacing w:before="0" w:after="0"/>
        <w:jc w:val="left"/>
        <w:rPr/>
      </w:pPr>
      <w:r>
        <w:rPr/>
      </w:r>
    </w:p>
    <w:tbl>
      <w:tblPr>
        <w:tblW w:w="9505" w:type="dxa"/>
        <w:jc w:val="left"/>
        <w:tblInd w:w="0" w:type="dxa"/>
        <w:tblLayout w:type="fixed"/>
        <w:tblCellMar>
          <w:top w:w="28" w:type="dxa"/>
          <w:left w:w="28" w:type="dxa"/>
          <w:bottom w:w="28" w:type="dxa"/>
          <w:right w:w="28" w:type="dxa"/>
        </w:tblCellMar>
      </w:tblPr>
      <w:tblGrid>
        <w:gridCol w:w="961"/>
        <w:gridCol w:w="844"/>
        <w:gridCol w:w="850"/>
        <w:gridCol w:w="109"/>
        <w:gridCol w:w="109"/>
        <w:gridCol w:w="109"/>
        <w:gridCol w:w="654"/>
        <w:gridCol w:w="654"/>
        <w:gridCol w:w="657"/>
        <w:gridCol w:w="109"/>
        <w:gridCol w:w="109"/>
        <w:gridCol w:w="109"/>
        <w:gridCol w:w="654"/>
        <w:gridCol w:w="654"/>
        <w:gridCol w:w="657"/>
        <w:gridCol w:w="109"/>
        <w:gridCol w:w="109"/>
        <w:gridCol w:w="109"/>
        <w:gridCol w:w="594"/>
        <w:gridCol w:w="594"/>
        <w:gridCol w:w="597"/>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2Q 2026 vs. 2Q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2Q 2026 vs. 1Q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YTD 2026 vs.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Average Net Selling Prices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LVL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I-joists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Plywood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20"/>
              </w:rPr>
              <w:t>Sales Volumes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LVL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I-joists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Plywood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Balance Sheet and Liquidity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Boise Cascade ended second quarter 2026 with $304.8 million of cash and cash equivalents and $395.1 million of undrawn committed bank line availability, for total available liquidity of $699.9 million. The Company had $452.5 million of outstanding debt at June 30,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Capital Allocation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expect capital expenditures in 2026, excluding potential acquisition spending, to total approximately $150 million to $170 million. This level of capital expenditures could increase or decrease as a result of several factors, including efforts to further accelerate organic growth, exercise of lease purchase options, our financial results, future economic conditions, availability of engineering and construction resources, and timing and availability of equipment purchases.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For the six months ended June 30, 2026, the Company paid $18.1 million in common stock dividends.</w:t>
      </w:r>
      <w:r>
        <w:rPr>
          <w:color w:val="0094FF"/>
        </w:rPr>
        <w:t xml:space="preserve"> </w:t>
      </w:r>
      <w:r>
        <w:rPr>
          <w:rFonts w:ascii="Arial;sans-serif" w:hAnsi="Arial;sans-serif"/>
          <w:b w:val="false"/>
          <w:color w:val="000000"/>
          <w:sz w:val="20"/>
        </w:rPr>
        <w:t>On July 30, 2026, our board of directors declared a quarterly dividend of $0.23 per share on our common stock, payable on September 16, 2026, to stockholders of record on September 1, 2026.</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For the six months ended June 30, 2026, the Company paid $108.3 million for the repurchase of 1,404,815 shares of our outstanding common stock. As of June 30, 2026, approximately $130 million of our outstanding common stock was available for repurchase under our existing share repurchase program.</w:t>
      </w:r>
    </w:p>
    <w:p>
      <w:pPr>
        <w:pStyle w:val="TextBody"/>
        <w:bidi w:val="0"/>
        <w:spacing w:before="0" w:after="0"/>
        <w:jc w:val="left"/>
        <w:rPr/>
      </w:pPr>
      <w:r>
        <w:rPr/>
      </w:r>
    </w:p>
    <w:p>
      <w:pPr>
        <w:pStyle w:val="TextBody"/>
        <w:bidi w:val="0"/>
        <w:spacing w:lineRule="auto" w:line="264" w:before="0" w:after="0"/>
        <w:jc w:val="left"/>
        <w:rPr>
          <w:rFonts w:ascii="Arial;sans-serif" w:hAnsi="Arial;sans-serif"/>
          <w:b/>
          <w:color w:val="000000"/>
          <w:sz w:val="20"/>
        </w:rPr>
      </w:pPr>
      <w:r>
        <w:rPr>
          <w:rFonts w:ascii="Arial;sans-serif" w:hAnsi="Arial;sans-serif"/>
          <w:b/>
          <w:color w:val="000000"/>
          <w:sz w:val="20"/>
        </w:rPr>
        <w:t>Expanded Nationwide Distribution Partnership with James Hardie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August 3, 2026, the Company and James Hardie announced an expanded agreement that positions Boise Cascade as the sole nationwide distributor for James Hardie’s industry-leading portfolio of exterior and outdoor building products through our extensive network of strategically located distribution facilities across the United States, effective July 31,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Under the expanded agreement, Boise Cascade will distribute James Hardie’s comprehensive portfolio of products, including Hardie® siding and trim, AZEK® Exteriors, and TimberTech® decking and railing. As the two companies fully align their focus and resources, Boise Cascade will transition away from competing siding, trim, and exterior moulding products. James Hardie will consolidate its distribution network across all regional markets and has designated Boise Cascade its sole nationwide distribution partner.</w:t>
      </w:r>
      <w:r>
        <w:rPr>
          <w:color w:val="000000"/>
        </w:rPr>
        <w:t xml:space="preserve"> </w:t>
      </w:r>
      <w:r>
        <w:rPr>
          <w:rFonts w:ascii="Arial;sans-serif" w:hAnsi="Arial;sans-serif"/>
          <w:b w:val="false"/>
          <w:color w:val="000000"/>
          <w:sz w:val="20"/>
        </w:rPr>
        <w:t>Together, Boise Cascade and James Hardie will leverage their complementary strengths to better serve customers, provide broader access to dealers, contractors, and retailers, expand their market reach, and drive long-term growth and value creation for their respective stakeholders.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Outlook</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Demand for the products we purchase and distribute, as well as the products we manufacture, depends primarily on new single-family residential construction, with additional demand driven by new multi-family residential construction, residential repair-and-remodeling, and light commercial activity. During the second quarter, the operating environment remained uneven and competitive. Ongoing geopolitical uncertainty, volatile Treasury yields and mortgage rates, and persistent inflation continue to weigh on the macroeconomic outlook. Against this backdrop, residential construction remains subdued, as affordability constraints and low consumer sentiment pressure market conditions. In response, homebuilders have relied on incentives to stimulate demand while maintaining discipline around starts and spec inventory. Beyond near-term volatility, long-term residential construction fundamentals remain constructive, supported by generational tailwinds and an undersupplied housing market. High homeowner equity and an aging U.S. housing stock support sustained repair-and-remodel spending and reinforce the industry’s solid underlying demand drivers.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Our distribution business, which purchases and resells a diverse range of products, may benefit from rising prices through increased sales and margins, while periods of declining prices may present challenges. Future product pricing, particularly for commodity products we distribute and manufacture, is expected to remain dynamic, influenced by economic and geopolitical conditions, input costs, industry operating rates, supply disruptions, duties, tariffs, cost and availability of transportation, inventory levels, and seasonal demand patterns. We will continue to monitor end market demand signals and align production rates and inventory stocking positions accordingly.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are providing financial guidance for third quarter 2026 as set forth in the table below. Guidance is based on current plans and expectations and is subject to a number of known and unknown uncertainties and risks, including the transition to our new third-party supplier for composite decking, and those set forth below under “Forward-Looking Statements.”</w:t>
      </w:r>
    </w:p>
    <w:p>
      <w:pPr>
        <w:pStyle w:val="TextBody"/>
        <w:bidi w:val="0"/>
        <w:spacing w:before="0" w:after="0"/>
        <w:jc w:val="left"/>
        <w:rPr/>
      </w:pPr>
      <w:r>
        <w:rPr/>
      </w:r>
    </w:p>
    <w:tbl>
      <w:tblPr>
        <w:tblW w:w="5864" w:type="dxa"/>
        <w:jc w:val="left"/>
        <w:tblInd w:w="0" w:type="dxa"/>
        <w:tblLayout w:type="fixed"/>
        <w:tblCellMar>
          <w:top w:w="28" w:type="dxa"/>
          <w:left w:w="28" w:type="dxa"/>
          <w:bottom w:w="28" w:type="dxa"/>
          <w:right w:w="28" w:type="dxa"/>
        </w:tblCellMar>
      </w:tblPr>
      <w:tblGrid>
        <w:gridCol w:w="1100"/>
        <w:gridCol w:w="970"/>
        <w:gridCol w:w="974"/>
        <w:gridCol w:w="825"/>
        <w:gridCol w:w="825"/>
        <w:gridCol w:w="1170"/>
      </w:tblGrid>
      <w:tr>
        <w:trPr/>
        <w:tc>
          <w:tcPr>
            <w:tcW w:w="110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Third Quarter 2026 Guidance</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BMD EBITDA</w:t>
            </w:r>
          </w:p>
        </w:tc>
        <w:tc>
          <w:tcPr>
            <w:tcW w:w="28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~$53 - $68 million</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Wood Products EBITDA</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~$42 - $57 million</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Costs</w:t>
            </w:r>
          </w:p>
        </w:tc>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 - ($11) million</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Company Adjusted EBITDA</w:t>
            </w:r>
          </w:p>
        </w:tc>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~$82 - $114 million</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Boise Cascade</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Boise Cascade is one of the largest U.S. wholesale distributors of building materials and a leading manufacturer of engineered wood products and plywood in North America. Our integrated model and national distribution footprint position us to deliver outstanding service to our customers across a broad range of industry-leading products, including key structural products that we produce. Headquartered in Boise, Idaho, we operate more than 60 distribution and manufacturing facilities strategically located across the U.S. and Canada. Our work is powered by a dedicated team of over 7,500 people. Learn more at</w:t>
      </w:r>
      <w:r>
        <w:rPr>
          <w:color w:val="000000"/>
        </w:rPr>
        <w:t xml:space="preserve"> </w:t>
      </w:r>
      <w:r>
        <w:rPr>
          <w:rFonts w:ascii="Arial;sans-serif" w:hAnsi="Arial;sans-serif"/>
          <w:b w:val="false"/>
          <w:color w:val="000000"/>
          <w:sz w:val="20"/>
        </w:rPr>
        <w:t xml:space="preserve">www.bc.com.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Webcast and Conference Call</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Boise Cascade will host a webcast and conference call to discuss second quarter earnings on Tuesday, August 4, 2026, at 11 a.m. Eastern.</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To join the webcast, go to the Investors section of our website at www.bc.com/investors and select the Event Calendar link. Analysts and investors who wish to ask questions during the Q&amp;A session can register for the call here.</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archived webcast will be available in the Investors section of Boise Cascade's website.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Use of Non-GAAP Financial Measures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We refer to the terms EBITDA, Adjusted EBITDA and Segment EBITDA in this earnings release and the accompanying Quarterly Statistical Information as supplemental measures of our performance and liquidity that are not required by or presented in accordance with generally accepted accounting principles in the United States (GAAP). We define EBITDA as income before interest (interest expense and interest income), income taxes, and depreciation and amortization. Additionally, we disclose Adjusted EBITDA, which further adjusts EBITDA to exclude the change in fair value of interest rate swaps. We also disclose Segment EBITDA, which is segment income (loss) before depreciation and amortization.</w:t>
      </w:r>
    </w:p>
    <w:p>
      <w:pPr>
        <w:pStyle w:val="TextBody"/>
        <w:bidi w:val="0"/>
        <w:spacing w:before="0" w:after="0"/>
        <w:jc w:val="left"/>
        <w:rPr/>
      </w:pPr>
      <w:r>
        <w:rPr/>
      </w:r>
    </w:p>
    <w:p>
      <w:pPr>
        <w:pStyle w:val="TextBody"/>
        <w:bidi w:val="0"/>
        <w:spacing w:lineRule="auto" w:line="288"/>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believe EBITDA, Adjusted EBITDA and Segment EBITDA are meaningful measures because they present a transparent view of our recurring operating performance and allow management to readily view operating trends, perform analytical comparisons, and identify strategies to improve operating performance. We also believe EBITDA, Adjusted EBITDA and Segment EBITDA are useful to investors because they provide a means to evaluate the operating performance of our segments and our Company on an ongoing basis using criteria that are used by our management and because they are frequently used by investors and other interested parties when comparing companies in our industry that have different financing and capital structures and/or tax rates. EBITDA, Adjusted EBITDA and Segment EBITDA, however, are not measures of our liquidity or financial performance under GAAP and should not be considered as alternatives to net income, income from operations, or any other performance measure derived in accordance with GAAP or as alternatives to cash flow from operating activities as a measure of our liquidity. The use of EBITDA, Adjusted EBITDA and Segment EBITDA instead of net income or segment income (loss) have limitations as analytical tools, including: the inability to determine profitability; the exclusion of interest expense, interest income, and associated significant cash requirements; and the exclusion of depreciation and amortization, which represent unavoidable operating costs. Management compensates for these limitations by relying on our GAAP results. Our measures of EBITDA, Adjusted EBITDA and Segment EBITDA are not necessarily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comparable to other similarly titled captions of other companies due to potential inconsistencies in the methods of calculation. For a reconciliation of net income to EBITDA and Adjusted EBITDA and segment income to Segment EBITDA, please see the section titled, "Summary Notes to Consolidated Financial Statements and Segment Information"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Arial;sans-serif" w:hAnsi="Arial;sans-serif"/>
          <w:b w:val="false"/>
          <w:color w:val="000000"/>
          <w:sz w:val="20"/>
        </w:rPr>
        <w:t>This press release and the related webcast call contain statements concerning future events and expectations, including, without limitation, statements relating to our outlook and the transition to our new-third party supplier for composite decking. These statements constitute forward-looking statements within the meaning of the Private Securities Litigation Reform Act of 1995. Any statements that express, or involve discussions as to, expectations, beliefs, plans, objectives, assumptions, or future events or performance, often, but not always, through the use of words or phrases such as "anticipates," "believes," "could," "estimates," "expects," "intends," “outlook,” "potential," "plans," "predicts," "preliminary," "projects," "targets," "may," "may result," or similar expressions, are not statements of historical facts and may be forward-looking. Forward-looking statements are not guarantees of future performance, involve estimates, assumptions, risks, and uncertainties, and may differ materially from actual results, performance, or outcomes. Factors that could cause actual results or outcomes to differ materially from those contained in forward-looking statements include those factors set forth in Boise Cascade’s most recent Annual Report on Form 10-K, subsequent reports filed by Boise Cascade with the Securities and Exchange Commission (SEC), including our forthcoming Quarterly Report on Form 10-Q for the second quarter of 2026, and the following important factors:</w:t>
      </w:r>
      <w:r>
        <w:rPr>
          <w:color w:val="000000"/>
        </w:rPr>
        <w:t xml:space="preserve"> </w:t>
      </w:r>
      <w:r>
        <w:rPr>
          <w:rFonts w:ascii="Arial;sans-serif" w:hAnsi="Arial;sans-serif"/>
          <w:b w:val="false"/>
          <w:color w:val="000000"/>
          <w:sz w:val="20"/>
        </w:rPr>
        <w:t>the commodity nature of a portion of our products and their price movements, which are driven largely by general economic conditions, industry capacity and operating rates, industry cycles that affect supply and demand, and net import and export activity; the highly competitive nature of our industry; declines in demand for our products due to competing technologies or materials, as well as changes in building code provisions; disruptions to information systems used to process and store customer, employee, and vendor information, as well as the technology that manages our operations and other business processes; material disruptions and/or major equipment failure at our manufacturing facilities; declining demand for residual byproducts, particularly wood chips generated in our manufacturing operations; labor disruptions, shortages of skilled and technical labor, or increased labor costs; product shortages, loss of key suppliers, and our dependence on third-party suppliers and manufacturers; the termination of the distribution relationship with our former composite decking supplier and our ability to execute a successful transition to our new third-party supplier for composite decking; the cost and availability of third-party transportation services used to deliver the goods we distribute and manufacture, as well as our raw materials;</w:t>
      </w:r>
      <w:r>
        <w:rPr>
          <w:color w:val="000000"/>
          <w:shd w:fill="FFFFFF" w:val="clear"/>
        </w:rPr>
        <w:t xml:space="preserve"> </w:t>
      </w:r>
      <w:r>
        <w:rPr>
          <w:rFonts w:ascii="Arial;sans-serif" w:hAnsi="Arial;sans-serif"/>
          <w:b w:val="false"/>
          <w:color w:val="000000"/>
          <w:sz w:val="20"/>
        </w:rPr>
        <w:t>cost and availability of raw materials, particularly wood fiber;</w:t>
      </w:r>
      <w:r>
        <w:rPr>
          <w:color w:val="000000"/>
          <w:shd w:fill="FFFFFF" w:val="clear"/>
        </w:rPr>
        <w:t xml:space="preserve"> </w:t>
      </w:r>
      <w:r>
        <w:rPr>
          <w:rFonts w:ascii="Arial;sans-serif" w:hAnsi="Arial;sans-serif"/>
          <w:b w:val="false"/>
          <w:color w:val="000000"/>
          <w:sz w:val="20"/>
        </w:rPr>
        <w:t>the need to successfully formulate and implement succession plans for key members of our management team; our ability to execute our organic growth and acquisition strategies efficiently and effectively;</w:t>
      </w:r>
      <w:r>
        <w:rPr>
          <w:color w:val="000000"/>
          <w:shd w:fill="FFFFFF" w:val="clear"/>
        </w:rPr>
        <w:t xml:space="preserve"> </w:t>
      </w:r>
      <w:r>
        <w:rPr>
          <w:rFonts w:ascii="Arial;sans-serif" w:hAnsi="Arial;sans-serif"/>
          <w:b w:val="false"/>
          <w:color w:val="000000"/>
          <w:sz w:val="20"/>
        </w:rPr>
        <w:t>failures or delays with new or existing technology systems and software platforms;</w:t>
      </w:r>
      <w:r>
        <w:rPr>
          <w:color w:val="000000"/>
          <w:shd w:fill="FFFFFF" w:val="clear"/>
        </w:rPr>
        <w:t xml:space="preserve"> </w:t>
      </w:r>
      <w:r>
        <w:rPr>
          <w:rFonts w:ascii="Arial;sans-serif" w:hAnsi="Arial;sans-serif"/>
          <w:b w:val="false"/>
          <w:color w:val="000000"/>
          <w:sz w:val="20"/>
        </w:rPr>
        <w:t>our ability to successfully pursue our long-term growth strategy related to innovation and digital technology;</w:t>
      </w:r>
      <w:r>
        <w:rPr>
          <w:color w:val="000000"/>
          <w:shd w:fill="FFFFFF" w:val="clear"/>
        </w:rPr>
        <w:t xml:space="preserve"> </w:t>
      </w:r>
      <w:r>
        <w:rPr>
          <w:rFonts w:ascii="Arial;sans-serif" w:hAnsi="Arial;sans-serif"/>
          <w:b w:val="false"/>
          <w:color w:val="000000"/>
          <w:sz w:val="20"/>
        </w:rPr>
        <w:t>concentration of our sales among a relatively small group of customers, as well as the financial condition and creditworthiness of our customers;</w:t>
      </w:r>
      <w:r>
        <w:rPr>
          <w:color w:val="000000"/>
          <w:shd w:fill="FFFFFF" w:val="clear"/>
        </w:rPr>
        <w:t xml:space="preserve"> </w:t>
      </w:r>
      <w:r>
        <w:rPr>
          <w:rFonts w:ascii="Arial;sans-serif" w:hAnsi="Arial;sans-serif"/>
          <w:b w:val="false"/>
          <w:color w:val="000000"/>
          <w:sz w:val="20"/>
        </w:rPr>
        <w:t>impairment of our long-lived assets, goodwill, and/or intangible assets;</w:t>
      </w:r>
      <w:r>
        <w:rPr>
          <w:color w:val="000000"/>
          <w:shd w:fill="FFFFFF" w:val="clear"/>
        </w:rPr>
        <w:t xml:space="preserve"> </w:t>
      </w:r>
      <w:r>
        <w:rPr>
          <w:rFonts w:ascii="Arial;sans-serif" w:hAnsi="Arial;sans-serif"/>
          <w:b w:val="false"/>
          <w:color w:val="000000"/>
          <w:sz w:val="20"/>
        </w:rPr>
        <w:t>substantial ongoing capital investment costs, including those associated with organic growth and acquisitions, and the difficulty in offsetting fixed costs related to those investments;</w:t>
      </w:r>
      <w:r>
        <w:rPr>
          <w:color w:val="000000"/>
          <w:shd w:fill="FFFFFF" w:val="clear"/>
        </w:rPr>
        <w:t xml:space="preserve"> </w:t>
      </w:r>
      <w:r>
        <w:rPr>
          <w:rFonts w:ascii="Arial;sans-serif" w:hAnsi="Arial;sans-serif"/>
          <w:b w:val="false"/>
          <w:color w:val="000000"/>
          <w:sz w:val="20"/>
        </w:rPr>
        <w:t>our indebtedness, including the possibility that we may not generate sufficient cash flows from operations or that future borrowings may not be available in amounts sufficient to fulfill our debt obligations and fund other liquidity needs;</w:t>
      </w:r>
      <w:r>
        <w:rPr>
          <w:color w:val="000000"/>
          <w:shd w:fill="FFFFFF" w:val="clear"/>
        </w:rPr>
        <w:t xml:space="preserve"> </w:t>
      </w:r>
      <w:r>
        <w:rPr>
          <w:rFonts w:ascii="Arial;sans-serif" w:hAnsi="Arial;sans-serif"/>
          <w:b w:val="false"/>
          <w:color w:val="000000"/>
          <w:sz w:val="20"/>
        </w:rPr>
        <w:t>restrictive covenants contained in our debt agreements; changes in or failure to comply with laws and regulations;</w:t>
      </w:r>
      <w:r>
        <w:rPr>
          <w:color w:val="000000"/>
          <w:shd w:fill="FFFFFF" w:val="clear"/>
        </w:rPr>
        <w:t xml:space="preserve"> </w:t>
      </w:r>
      <w:r>
        <w:rPr>
          <w:rFonts w:ascii="Arial;sans-serif" w:hAnsi="Arial;sans-serif"/>
          <w:b w:val="false"/>
          <w:color w:val="000000"/>
          <w:sz w:val="20"/>
        </w:rPr>
        <w:t>changes in foreign trade policy, including the imposition of tariffs;</w:t>
      </w:r>
      <w:r>
        <w:rPr>
          <w:color w:val="000000"/>
          <w:shd w:fill="FFFFFF" w:val="clear"/>
        </w:rPr>
        <w:t xml:space="preserve"> </w:t>
      </w:r>
      <w:r>
        <w:rPr>
          <w:rFonts w:ascii="Arial;sans-serif" w:hAnsi="Arial;sans-serif"/>
          <w:b w:val="false"/>
          <w:color w:val="000000"/>
          <w:sz w:val="20"/>
        </w:rPr>
        <w:t>compliance with data privacy and security laws and regulations;</w:t>
      </w:r>
      <w:r>
        <w:rPr>
          <w:color w:val="000000"/>
          <w:shd w:fill="FFFFFF" w:val="clear"/>
        </w:rPr>
        <w:t xml:space="preserve"> </w:t>
      </w:r>
      <w:r>
        <w:rPr>
          <w:rFonts w:ascii="Arial;sans-serif" w:hAnsi="Arial;sans-serif"/>
          <w:b w:val="false"/>
          <w:color w:val="000000"/>
          <w:sz w:val="20"/>
        </w:rPr>
        <w:t>the impacts of climate change and related legislative and regulatory responses intended to reduce climate change;</w:t>
      </w:r>
      <w:r>
        <w:rPr>
          <w:color w:val="000000"/>
          <w:shd w:fill="FFFFFF" w:val="clear"/>
        </w:rPr>
        <w:t xml:space="preserve"> </w:t>
      </w:r>
      <w:r>
        <w:rPr>
          <w:rFonts w:ascii="Arial;sans-serif" w:hAnsi="Arial;sans-serif"/>
          <w:b w:val="false"/>
          <w:color w:val="000000"/>
          <w:sz w:val="20"/>
        </w:rPr>
        <w:t>cost of compliance with government regulations, in particular, environmental regulations;</w:t>
      </w:r>
      <w:r>
        <w:rPr>
          <w:color w:val="000000"/>
          <w:shd w:fill="FFFFFF" w:val="clear"/>
        </w:rPr>
        <w:t xml:space="preserve"> </w:t>
      </w:r>
      <w:r>
        <w:rPr>
          <w:rFonts w:ascii="Arial;sans-serif" w:hAnsi="Arial;sans-serif"/>
          <w:b w:val="false"/>
          <w:color w:val="000000"/>
          <w:sz w:val="20"/>
        </w:rPr>
        <w:t>exposure to product liability, product warranty, casualty, construction defect, and other claims;</w:t>
      </w:r>
      <w:r>
        <w:rPr>
          <w:color w:val="000000"/>
          <w:shd w:fill="FFFFFF" w:val="clear"/>
        </w:rPr>
        <w:t xml:space="preserve"> </w:t>
      </w:r>
      <w:r>
        <w:rPr>
          <w:rFonts w:ascii="Arial;sans-serif" w:hAnsi="Arial;sans-serif"/>
          <w:b w:val="false"/>
          <w:color w:val="000000"/>
          <w:sz w:val="20"/>
          <w:shd w:fill="FFFFFF" w:val="clear"/>
        </w:rPr>
        <w:t xml:space="preserve">and </w:t>
      </w:r>
      <w:r>
        <w:rPr>
          <w:rFonts w:ascii="Arial;sans-serif" w:hAnsi="Arial;sans-serif"/>
          <w:b w:val="false"/>
          <w:color w:val="000000"/>
          <w:sz w:val="20"/>
        </w:rPr>
        <w:t>fluctuations in the market for our equity.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It is not possible to predict or identify all risks and uncertainties that might affect the accuracy of our forward-looking statements and, consequently, our descriptions of such risks and uncertainties should not be considered exhaustive. There is no guarantee that any of the events anticipated by these forward-looking statements will occur, and if any of the events do occur, there is no guarantee what effect they will have on the company's business, results of operations, cash flows, financial condition and future prospects. Forward-looking statements speak only as of the date they are made, and, except as required by law, we undertake no obligation to publicly update or revise any forward-looking statements, whether because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per-share data) (unaudited)</w:t>
      </w:r>
    </w:p>
    <w:tbl>
      <w:tblPr>
        <w:tblW w:w="10205" w:type="dxa"/>
        <w:jc w:val="center"/>
        <w:tblInd w:w="0" w:type="dxa"/>
        <w:tblLayout w:type="fixed"/>
        <w:tblCellMar>
          <w:top w:w="28" w:type="dxa"/>
          <w:left w:w="28" w:type="dxa"/>
          <w:bottom w:w="28" w:type="dxa"/>
          <w:right w:w="28" w:type="dxa"/>
        </w:tblCellMar>
      </w:tblPr>
      <w:tblGrid>
        <w:gridCol w:w="952"/>
        <w:gridCol w:w="583"/>
        <w:gridCol w:w="588"/>
        <w:gridCol w:w="211"/>
        <w:gridCol w:w="1021"/>
        <w:gridCol w:w="109"/>
        <w:gridCol w:w="109"/>
        <w:gridCol w:w="109"/>
        <w:gridCol w:w="109"/>
        <w:gridCol w:w="211"/>
        <w:gridCol w:w="1021"/>
        <w:gridCol w:w="109"/>
        <w:gridCol w:w="109"/>
        <w:gridCol w:w="109"/>
        <w:gridCol w:w="109"/>
        <w:gridCol w:w="214"/>
        <w:gridCol w:w="1038"/>
        <w:gridCol w:w="110"/>
        <w:gridCol w:w="109"/>
        <w:gridCol w:w="109"/>
        <w:gridCol w:w="109"/>
        <w:gridCol w:w="211"/>
        <w:gridCol w:w="1021"/>
        <w:gridCol w:w="109"/>
        <w:gridCol w:w="109"/>
        <w:gridCol w:w="109"/>
        <w:gridCol w:w="109"/>
        <w:gridCol w:w="211"/>
        <w:gridCol w:w="1021"/>
        <w:gridCol w:w="157"/>
      </w:tblGrid>
      <w:tr>
        <w:trPr/>
        <w:tc>
          <w:tcPr>
            <w:tcW w:w="95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1,740,114 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1,498,614 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3,329,949 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3,276,608 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labor, and other operating expenses (excluding depreciation)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1,441,459 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1,255,070 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2,758,532 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2,717,642 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distribution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150,444 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305,463 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1,747,359 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1,659,584 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1,470,829 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3,218,188 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3,141,559 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from operations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27,785 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135,049 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exchange gain (loss)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expense (excluding service costs)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interest rate swaps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Income before income taxes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24,432 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134,790 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(6,590)</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57,342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61,985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17,842</w:t>
            </w: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75,184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102,333</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Basic</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35,909 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37,848 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Diluted</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per common share:</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0.50 </w:t>
            </w:r>
          </w:p>
        </w:tc>
        <w:tc>
          <w:tcPr>
            <w:tcW w:w="11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15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declared per common share</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0.22 </w:t>
            </w:r>
          </w:p>
        </w:tc>
        <w:tc>
          <w:tcPr>
            <w:tcW w:w="1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0.42 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Building Materials Distribution Segment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percentages) (unaudited)</w:t>
      </w:r>
    </w:p>
    <w:tbl>
      <w:tblPr>
        <w:tblW w:w="10279" w:type="dxa"/>
        <w:jc w:val="left"/>
        <w:tblInd w:w="0" w:type="dxa"/>
        <w:tblLayout w:type="fixed"/>
        <w:tblCellMar>
          <w:top w:w="28" w:type="dxa"/>
          <w:left w:w="28" w:type="dxa"/>
          <w:bottom w:w="28" w:type="dxa"/>
          <w:right w:w="28" w:type="dxa"/>
        </w:tblCellMar>
      </w:tblPr>
      <w:tblGrid>
        <w:gridCol w:w="732"/>
        <w:gridCol w:w="301"/>
        <w:gridCol w:w="303"/>
        <w:gridCol w:w="211"/>
        <w:gridCol w:w="1021"/>
        <w:gridCol w:w="286"/>
        <w:gridCol w:w="109"/>
        <w:gridCol w:w="109"/>
        <w:gridCol w:w="109"/>
        <w:gridCol w:w="211"/>
        <w:gridCol w:w="1021"/>
        <w:gridCol w:w="286"/>
        <w:gridCol w:w="109"/>
        <w:gridCol w:w="109"/>
        <w:gridCol w:w="109"/>
        <w:gridCol w:w="211"/>
        <w:gridCol w:w="1021"/>
        <w:gridCol w:w="286"/>
        <w:gridCol w:w="109"/>
        <w:gridCol w:w="109"/>
        <w:gridCol w:w="109"/>
        <w:gridCol w:w="211"/>
        <w:gridCol w:w="1021"/>
        <w:gridCol w:w="286"/>
        <w:gridCol w:w="109"/>
        <w:gridCol w:w="109"/>
        <w:gridCol w:w="109"/>
        <w:gridCol w:w="211"/>
        <w:gridCol w:w="1021"/>
        <w:gridCol w:w="331"/>
      </w:tblGrid>
      <w:tr>
        <w:trPr/>
        <w:tc>
          <w:tcPr>
            <w:tcW w:w="73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1,697,494 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1,614,915 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1,388,948 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3,086,442 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3,022,031 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labor, and other operating expenses (excluding depreciation)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1,439,101 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1,365,755 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1,189,236 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2,628,337 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2,566,695 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distribution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161,674 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141,274 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302,948 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283,964 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20,454 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1,627,377 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1,536,882 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1,356,006 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2,983,383 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2,895,581 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Segment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70,117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78,033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32,942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103,059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126,450</w:t>
            </w: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3"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(percentage of sales)</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sales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labor, and other operating expenses (excluding depreciation)</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distribution expenses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95.9 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97.6 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Segment income </w:t>
            </w:r>
          </w:p>
        </w:tc>
        <w:tc>
          <w:tcPr>
            <w:tcW w:w="12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Wood Products Segment</w: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Statements of Operations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percentages) (unaudited)</w:t>
      </w:r>
    </w:p>
    <w:tbl>
      <w:tblPr>
        <w:tblW w:w="10205" w:type="dxa"/>
        <w:jc w:val="left"/>
        <w:tblInd w:w="0" w:type="dxa"/>
        <w:tblLayout w:type="fixed"/>
        <w:tblCellMar>
          <w:top w:w="28" w:type="dxa"/>
          <w:left w:w="28" w:type="dxa"/>
          <w:bottom w:w="28" w:type="dxa"/>
          <w:right w:w="28" w:type="dxa"/>
        </w:tblCellMar>
      </w:tblPr>
      <w:tblGrid>
        <w:gridCol w:w="920"/>
        <w:gridCol w:w="509"/>
        <w:gridCol w:w="512"/>
        <w:gridCol w:w="211"/>
        <w:gridCol w:w="856"/>
        <w:gridCol w:w="346"/>
        <w:gridCol w:w="109"/>
        <w:gridCol w:w="109"/>
        <w:gridCol w:w="109"/>
        <w:gridCol w:w="211"/>
        <w:gridCol w:w="856"/>
        <w:gridCol w:w="346"/>
        <w:gridCol w:w="109"/>
        <w:gridCol w:w="109"/>
        <w:gridCol w:w="109"/>
        <w:gridCol w:w="213"/>
        <w:gridCol w:w="866"/>
        <w:gridCol w:w="289"/>
        <w:gridCol w:w="109"/>
        <w:gridCol w:w="109"/>
        <w:gridCol w:w="109"/>
        <w:gridCol w:w="211"/>
        <w:gridCol w:w="856"/>
        <w:gridCol w:w="286"/>
        <w:gridCol w:w="109"/>
        <w:gridCol w:w="109"/>
        <w:gridCol w:w="109"/>
        <w:gridCol w:w="211"/>
        <w:gridCol w:w="856"/>
        <w:gridCol w:w="342"/>
      </w:tblGrid>
      <w:tr>
        <w:trPr/>
        <w:tc>
          <w:tcPr>
            <w:tcW w:w="9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459,603 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447,235 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398,204 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857,807 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863,080 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labor, and other operating expenses (excluding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390,877 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398,451 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352,985 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743,862 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760,697 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26,718 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23,465 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50,183 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45,802 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distribution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12,167 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9,224 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21,607 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4,190 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7,129 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(3,840)</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433,950 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433,259 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389,712 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823,662 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831,395 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25,653</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13,976</w:t>
            </w: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8,492</w:t>
            </w:r>
            <w:r>
              <w:rPr>
                <w:color w:val="000000"/>
              </w:rPr>
              <w:t>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34,145</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31,685</w:t>
            </w: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(percentage of sales)</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sales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Costs and expenses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Materials, labor, and other operating expenses (excluding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88.1 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distribution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3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97.9 </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96.0 </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96.3 </w:t>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9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income</w:t>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5.6</w:t>
            </w:r>
            <w:r>
              <w:rPr>
                <w:color w:val="000000"/>
              </w:rPr>
              <w:t>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w:t>
            </w:r>
            <w:r>
              <w:rPr>
                <w:color w:val="000000"/>
              </w:rPr>
              <w:t> </w:t>
            </w:r>
          </w:p>
        </w:tc>
        <w:tc>
          <w:tcPr>
            <w:tcW w:w="3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w:t>
            </w:r>
            <w:r>
              <w:rPr>
                <w:color w:val="000000"/>
              </w:rPr>
              <w:t> </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w:t>
            </w:r>
            <w:r>
              <w:rPr>
                <w:color w:val="000000"/>
              </w:rPr>
              <w:t> </w:t>
            </w:r>
          </w:p>
        </w:tc>
        <w:tc>
          <w:tcPr>
            <w:tcW w:w="3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Segment Information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(unaudited)</w:t>
      </w:r>
    </w:p>
    <w:tbl>
      <w:tblPr>
        <w:tblW w:w="10205" w:type="dxa"/>
        <w:jc w:val="center"/>
        <w:tblInd w:w="0" w:type="dxa"/>
        <w:tblLayout w:type="fixed"/>
        <w:tblCellMar>
          <w:top w:w="28" w:type="dxa"/>
          <w:left w:w="28" w:type="dxa"/>
          <w:bottom w:w="28" w:type="dxa"/>
          <w:right w:w="28" w:type="dxa"/>
        </w:tblCellMar>
      </w:tblPr>
      <w:tblGrid>
        <w:gridCol w:w="836"/>
        <w:gridCol w:w="613"/>
        <w:gridCol w:w="617"/>
        <w:gridCol w:w="211"/>
        <w:gridCol w:w="1021"/>
        <w:gridCol w:w="109"/>
        <w:gridCol w:w="109"/>
        <w:gridCol w:w="109"/>
        <w:gridCol w:w="109"/>
        <w:gridCol w:w="211"/>
        <w:gridCol w:w="1021"/>
        <w:gridCol w:w="109"/>
        <w:gridCol w:w="109"/>
        <w:gridCol w:w="109"/>
        <w:gridCol w:w="109"/>
        <w:gridCol w:w="223"/>
        <w:gridCol w:w="1082"/>
        <w:gridCol w:w="115"/>
        <w:gridCol w:w="109"/>
        <w:gridCol w:w="109"/>
        <w:gridCol w:w="109"/>
        <w:gridCol w:w="211"/>
        <w:gridCol w:w="1021"/>
        <w:gridCol w:w="109"/>
        <w:gridCol w:w="109"/>
        <w:gridCol w:w="109"/>
        <w:gridCol w:w="109"/>
        <w:gridCol w:w="211"/>
        <w:gridCol w:w="1021"/>
        <w:gridCol w:w="156"/>
      </w:tblGrid>
      <w:tr>
        <w:trPr/>
        <w:tc>
          <w:tcPr>
            <w:tcW w:w="83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sales</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Materials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1,697,494 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1,388,948 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3,022,031 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Wood Products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398,204 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863,080 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Intersegment eliminations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(288,538)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(608,503)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1,831,335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1,740,114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1,498,614</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3,329,949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3,276,608</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Segment income</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Materials Distribution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Wood Products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segment income</w:t>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92,009 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41,434 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158,135 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costs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83,976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80,530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27,785</w:t>
            </w:r>
            <w:r>
              <w:rPr>
                <w:color w:val="000000"/>
              </w:rPr>
              <w:t>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111,761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135,049</w:t>
            </w: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Segment EBITDA </w:t>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Materials Distribution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48,225 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154,627 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Wood Products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See accompanying summary notes to consolidated financial statements and segment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Balance Sheets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(unaudited)</w:t>
      </w:r>
    </w:p>
    <w:tbl>
      <w:tblPr>
        <w:tblW w:w="7587" w:type="dxa"/>
        <w:jc w:val="center"/>
        <w:tblInd w:w="0" w:type="dxa"/>
        <w:tblLayout w:type="fixed"/>
        <w:tblCellMar>
          <w:top w:w="28" w:type="dxa"/>
          <w:left w:w="28" w:type="dxa"/>
          <w:bottom w:w="28" w:type="dxa"/>
          <w:right w:w="28" w:type="dxa"/>
        </w:tblCellMar>
      </w:tblPr>
      <w:tblGrid>
        <w:gridCol w:w="1449"/>
        <w:gridCol w:w="1269"/>
        <w:gridCol w:w="1287"/>
        <w:gridCol w:w="214"/>
        <w:gridCol w:w="1040"/>
        <w:gridCol w:w="111"/>
        <w:gridCol w:w="109"/>
        <w:gridCol w:w="109"/>
        <w:gridCol w:w="109"/>
        <w:gridCol w:w="287"/>
        <w:gridCol w:w="1393"/>
        <w:gridCol w:w="210"/>
      </w:tblGrid>
      <w:tr>
        <w:trPr/>
        <w:tc>
          <w:tcPr>
            <w:tcW w:w="144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304,818 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477,215 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Trade, less allowances of $5,534 and $5,618</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507,063 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315,944 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parties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24,698 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927,284 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795,724 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40,751 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2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1,800,298 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1,654,418 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1,142,641 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1,157,261 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right-of-use assets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55,980 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right-of-use assets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11,825 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Timber deposits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185,239 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185,384 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149,296 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159,665 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3,041 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3,388,272</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3,241,943</w:t>
            </w:r>
            <w:r>
              <w:rPr>
                <w:color w:val="000000"/>
              </w:rPr>
              <w:t>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Balance Sheets (continued)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except per-share data) (unaudited)</w:t>
      </w:r>
    </w:p>
    <w:tbl>
      <w:tblPr>
        <w:tblW w:w="10205" w:type="dxa"/>
        <w:jc w:val="center"/>
        <w:tblInd w:w="0" w:type="dxa"/>
        <w:tblLayout w:type="fixed"/>
        <w:tblCellMar>
          <w:top w:w="28" w:type="dxa"/>
          <w:left w:w="28" w:type="dxa"/>
          <w:bottom w:w="28" w:type="dxa"/>
          <w:right w:w="28" w:type="dxa"/>
        </w:tblCellMar>
      </w:tblPr>
      <w:tblGrid>
        <w:gridCol w:w="2478"/>
        <w:gridCol w:w="2178"/>
        <w:gridCol w:w="2183"/>
        <w:gridCol w:w="212"/>
        <w:gridCol w:w="1032"/>
        <w:gridCol w:w="110"/>
        <w:gridCol w:w="109"/>
        <w:gridCol w:w="109"/>
        <w:gridCol w:w="109"/>
        <w:gridCol w:w="255"/>
        <w:gridCol w:w="1240"/>
        <w:gridCol w:w="190"/>
      </w:tblGrid>
      <w:tr>
        <w:trPr/>
        <w:tc>
          <w:tcPr>
            <w:tcW w:w="2478" w:type="dxa"/>
            <w:tcBorders/>
            <w:vAlign w:val="center"/>
          </w:tcPr>
          <w:p>
            <w:pPr>
              <w:pStyle w:val="TableContents"/>
              <w:bidi w:val="0"/>
              <w:spacing w:before="0" w:after="283"/>
              <w:jc w:val="left"/>
              <w:rPr>
                <w:sz w:val="4"/>
                <w:szCs w:val="4"/>
              </w:rPr>
            </w:pPr>
            <w:r>
              <w:rPr>
                <w:sz w:val="4"/>
                <w:szCs w:val="4"/>
              </w:rPr>
            </w:r>
          </w:p>
        </w:tc>
        <w:tc>
          <w:tcPr>
            <w:tcW w:w="2178"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December 31, 2025</w:t>
            </w:r>
          </w:p>
        </w:tc>
      </w:tr>
      <w:tr>
        <w:trPr/>
        <w:tc>
          <w:tcPr>
            <w:tcW w:w="6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Current</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254,622 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Related parties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112,090 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payable</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10,176 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118,129 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124,297 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2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664,320 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493,076 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Debt</w:t>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 net</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448,408 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445,405 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Other</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benefits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35,986 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39,354 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43,934 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Finance lease liabilities, net of current portion</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44,297 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15,631 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105,551 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19,893 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18,270 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249,879 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228,584 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Commitments and contingent liabilities</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Preferred stock, $0.01 par value per share; 50,000 shares authorized, no shares issued and outstanding</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Common stock, $0.01 par value per share; 300,000 shares authorized, 34,929 and 36,190 shares issued, respectively</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5" w:type="dxa"/>
            <w:gridSpan w:val="3"/>
            <w:tcBorders/>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571,816 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571,220 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1,453,962 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1,503,772 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24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2,025,665 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2,074,878 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3,388,272</w:t>
            </w:r>
            <w:r>
              <w:rPr>
                <w:color w:val="000000"/>
              </w:rPr>
              <w:t>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2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3,241,943</w:t>
            </w:r>
            <w:r>
              <w:rPr>
                <w:color w:val="000000"/>
              </w:rPr>
              <w:t> </w:t>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Consolidated Statements of Cash Flows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 thousands) (unaudited)</w:t>
      </w:r>
    </w:p>
    <w:tbl>
      <w:tblPr>
        <w:tblW w:w="9323" w:type="dxa"/>
        <w:jc w:val="center"/>
        <w:tblInd w:w="0" w:type="dxa"/>
        <w:tblLayout w:type="fixed"/>
        <w:tblCellMar>
          <w:top w:w="28" w:type="dxa"/>
          <w:left w:w="28" w:type="dxa"/>
          <w:bottom w:w="28" w:type="dxa"/>
          <w:right w:w="28" w:type="dxa"/>
        </w:tblCellMar>
      </w:tblPr>
      <w:tblGrid>
        <w:gridCol w:w="2386"/>
        <w:gridCol w:w="2099"/>
        <w:gridCol w:w="2114"/>
        <w:gridCol w:w="211"/>
        <w:gridCol w:w="856"/>
        <w:gridCol w:w="109"/>
        <w:gridCol w:w="109"/>
        <w:gridCol w:w="109"/>
        <w:gridCol w:w="109"/>
        <w:gridCol w:w="211"/>
        <w:gridCol w:w="856"/>
        <w:gridCol w:w="154"/>
      </w:tblGrid>
      <w:tr>
        <w:trPr/>
        <w:tc>
          <w:tcPr>
            <w:tcW w:w="2386"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w:t>
            </w:r>
          </w:p>
        </w:tc>
      </w:tr>
      <w:tr>
        <w:trPr/>
        <w:tc>
          <w:tcPr>
            <w:tcW w:w="6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provided by (used for) operations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Items in net income not using (providing) cash</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Depreciation and amortization, including deferred financing costs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interest rate swaps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Decrease (increase) in working capital, net of acquisitions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Receivables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(131,560)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184,299 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operations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4,694 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provided by (used for) investment</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Expenditures for property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(132,257)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 of businesses and facilities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sales of assets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investment</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(62,996)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(122,105)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provided by (used for) financing</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of long-term debt, including revolving credit facility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long-term debt, including revolving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(87,746)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 on common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withholding payments on stock-based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Payments of deferring financing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for financing</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(135,742)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(114,830)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decrease in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(232,241)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beginning of the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end of the period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304,818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481,019</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100"/>
        <w:jc w:val="left"/>
        <w:rPr>
          <w:rFonts w:ascii="Arial;sans-serif" w:hAnsi="Arial;sans-serif"/>
          <w:b/>
          <w:color w:val="000000"/>
          <w:sz w:val="22"/>
        </w:rPr>
      </w:pPr>
      <w:r>
        <w:rPr>
          <w:rFonts w:ascii="Arial;sans-serif" w:hAnsi="Arial;sans-serif"/>
          <w:b/>
          <w:color w:val="000000"/>
          <w:sz w:val="22"/>
        </w:rPr>
        <w:t>Summary Notes to Consolidated Financial Statements and Segment Information</w:t>
      </w:r>
    </w:p>
    <w:p>
      <w:pPr>
        <w:pStyle w:val="TextBody"/>
        <w:bidi w:val="0"/>
        <w:spacing w:lineRule="auto" w:line="288" w:before="100" w:after="180"/>
        <w:ind w:left="0" w:right="0" w:firstLine="720"/>
        <w:jc w:val="left"/>
        <w:rPr>
          <w:rFonts w:ascii="Arial;sans-serif" w:hAnsi="Arial;sans-serif"/>
          <w:b w:val="false"/>
          <w:color w:val="000000"/>
          <w:sz w:val="20"/>
        </w:rPr>
      </w:pPr>
      <w:r>
        <w:rPr>
          <w:rFonts w:ascii="Arial;sans-serif" w:hAnsi="Arial;sans-serif"/>
          <w:b w:val="false"/>
          <w:color w:val="000000"/>
          <w:sz w:val="20"/>
        </w:rPr>
        <w:t>The Consolidated Statements of Operations, Segment Statements of Operations, Consolidated Balance Sheets, Consolidated Statements of Cash Flows, and Segment Information presented herein do not include the notes accompanying the Company's Consolidated Financial Statements and should be read in conjunction with the Company’s 2025 Form 10-K and the Company's other filings with the Securities and Exchange Commission. Net income for all periods presented involved estimates and accruals.</w:t>
      </w:r>
    </w:p>
    <w:p>
      <w:pPr>
        <w:pStyle w:val="TextBody"/>
        <w:bidi w:val="0"/>
        <w:spacing w:lineRule="auto" w:line="288" w:before="100" w:after="180"/>
        <w:ind w:left="0" w:right="0" w:firstLine="720"/>
        <w:jc w:val="left"/>
        <w:rPr>
          <w:rFonts w:ascii="Arial;sans-serif" w:hAnsi="Arial;sans-serif"/>
          <w:b w:val="false"/>
          <w:color w:val="000000"/>
          <w:sz w:val="20"/>
        </w:rPr>
      </w:pPr>
      <w:r>
        <w:rPr>
          <w:rFonts w:ascii="Arial;sans-serif" w:hAnsi="Arial;sans-serif"/>
          <w:b w:val="false"/>
          <w:color w:val="000000"/>
          <w:sz w:val="20"/>
        </w:rPr>
        <w:t>EBITDA represents income before interest (interest expense and interest income), income taxes, and depreciation and amortization. Additionally, we disclose Adjusted EBITDA, which further adjusts EBITDA to exclude the change in fair value of interest rate swaps. The following table reconciles net income to EBITDA and Adjusted EBITDA for the (i) three months ended June 30, 2026 and 2025, (ii) three months ended March 31, 2026, and (iii) six months ended June 30, 2026 and 2025:</w:t>
      </w:r>
    </w:p>
    <w:tbl>
      <w:tblPr>
        <w:tblW w:w="10205" w:type="dxa"/>
        <w:jc w:val="left"/>
        <w:tblInd w:w="0" w:type="dxa"/>
        <w:tblLayout w:type="fixed"/>
        <w:tblCellMar>
          <w:top w:w="28" w:type="dxa"/>
          <w:left w:w="28" w:type="dxa"/>
          <w:bottom w:w="28" w:type="dxa"/>
          <w:right w:w="28" w:type="dxa"/>
        </w:tblCellMar>
      </w:tblPr>
      <w:tblGrid>
        <w:gridCol w:w="1118"/>
        <w:gridCol w:w="850"/>
        <w:gridCol w:w="848"/>
        <w:gridCol w:w="211"/>
        <w:gridCol w:w="856"/>
        <w:gridCol w:w="109"/>
        <w:gridCol w:w="109"/>
        <w:gridCol w:w="109"/>
        <w:gridCol w:w="109"/>
        <w:gridCol w:w="211"/>
        <w:gridCol w:w="856"/>
        <w:gridCol w:w="109"/>
        <w:gridCol w:w="109"/>
        <w:gridCol w:w="109"/>
        <w:gridCol w:w="109"/>
        <w:gridCol w:w="261"/>
        <w:gridCol w:w="933"/>
        <w:gridCol w:w="135"/>
        <w:gridCol w:w="109"/>
        <w:gridCol w:w="109"/>
        <w:gridCol w:w="109"/>
        <w:gridCol w:w="211"/>
        <w:gridCol w:w="856"/>
        <w:gridCol w:w="109"/>
        <w:gridCol w:w="109"/>
        <w:gridCol w:w="109"/>
        <w:gridCol w:w="109"/>
        <w:gridCol w:w="211"/>
        <w:gridCol w:w="856"/>
        <w:gridCol w:w="157"/>
      </w:tblGrid>
      <w:tr>
        <w:trPr/>
        <w:tc>
          <w:tcPr>
            <w:tcW w:w="1118"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17,842 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102,333 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(10,133)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32,457 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74,530 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126,240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118,565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66,567</w:t>
            </w:r>
            <w:r>
              <w:rPr>
                <w:color w:val="000000"/>
              </w:rPr>
              <w:t>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192,807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209,682</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interest rate swaps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126,240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119,000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66,567</w:t>
            </w:r>
            <w:r>
              <w:rPr>
                <w:color w:val="000000"/>
              </w:rPr>
              <w:t> </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192,807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210,607</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100" w:after="18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reconciles segment income and unallocated corporate costs to Segment EBITDA, EBITDA and Adjusted EBITDA for the (i) three months ended June 30, 2026 and 2025, (ii) three months ended March 31, 2026, and (iii) six months ended June 30, 2026 and 2025:</w:t>
      </w:r>
    </w:p>
    <w:tbl>
      <w:tblPr>
        <w:tblW w:w="10205" w:type="dxa"/>
        <w:jc w:val="left"/>
        <w:tblInd w:w="0" w:type="dxa"/>
        <w:tblLayout w:type="fixed"/>
        <w:tblCellMar>
          <w:top w:w="28" w:type="dxa"/>
          <w:left w:w="28" w:type="dxa"/>
          <w:bottom w:w="28" w:type="dxa"/>
          <w:right w:w="28" w:type="dxa"/>
        </w:tblCellMar>
      </w:tblPr>
      <w:tblGrid>
        <w:gridCol w:w="1022"/>
        <w:gridCol w:w="898"/>
        <w:gridCol w:w="903"/>
        <w:gridCol w:w="211"/>
        <w:gridCol w:w="856"/>
        <w:gridCol w:w="109"/>
        <w:gridCol w:w="109"/>
        <w:gridCol w:w="109"/>
        <w:gridCol w:w="109"/>
        <w:gridCol w:w="211"/>
        <w:gridCol w:w="856"/>
        <w:gridCol w:w="109"/>
        <w:gridCol w:w="109"/>
        <w:gridCol w:w="109"/>
        <w:gridCol w:w="109"/>
        <w:gridCol w:w="251"/>
        <w:gridCol w:w="942"/>
        <w:gridCol w:w="129"/>
        <w:gridCol w:w="109"/>
        <w:gridCol w:w="109"/>
        <w:gridCol w:w="109"/>
        <w:gridCol w:w="211"/>
        <w:gridCol w:w="856"/>
        <w:gridCol w:w="109"/>
        <w:gridCol w:w="109"/>
        <w:gridCol w:w="109"/>
        <w:gridCol w:w="109"/>
        <w:gridCol w:w="211"/>
        <w:gridCol w:w="856"/>
        <w:gridCol w:w="157"/>
      </w:tblGrid>
      <w:tr>
        <w:trPr/>
        <w:tc>
          <w:tcPr>
            <w:tcW w:w="102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Six Months Ended</w:t>
            </w:r>
          </w:p>
        </w:tc>
      </w:tr>
      <w:tr>
        <w:trPr/>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vMerge w:val="restart"/>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June 30</w:t>
            </w:r>
          </w:p>
        </w:tc>
      </w:tr>
      <w:tr>
        <w:trPr/>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vMerge w:val="continue"/>
            <w:tcBorders>
              <w:top w:val="single" w:sz="8" w:space="0" w:color="000000"/>
              <w:bottom w:val="single" w:sz="8" w:space="0" w:color="000000"/>
            </w:tcBorders>
            <w:tcMar>
              <w:top w:w="52"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2025</w:t>
            </w:r>
          </w:p>
        </w:tc>
      </w:tr>
      <w:tr>
        <w:trPr/>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Building Materials Distribution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32,942 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126,450 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15,283 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28,177 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EBITDA</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85,622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91,848</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48,225</w:t>
            </w:r>
            <w:r>
              <w:rPr>
                <w:color w:val="000000"/>
              </w:rPr>
              <w:t>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133,847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154,627</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Wood Products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8,492 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Segment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52,371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37,292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31,957</w:t>
            </w:r>
            <w:r>
              <w:rPr>
                <w:color w:val="000000"/>
              </w:rPr>
              <w:t>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84,328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77,487</w:t>
            </w:r>
            <w:r>
              <w:rPr>
                <w:color w:val="000000"/>
              </w:rPr>
              <w:t>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Corporate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Unallocated corporate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(13,649)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(23,086)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exchange gain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Pension expense (excluding service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interest rate swaps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EBITDA</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(13,615)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(22,432)</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fair value of interest rate swaps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Adjusted EBITDA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(11,753)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(13,615)</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(25,368)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(21,507)</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Company Adjusted EBITDA</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126,240</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119,000</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66,567</w:t>
            </w:r>
            <w:r>
              <w:rPr>
                <w:color w:val="000000"/>
              </w:rPr>
              <w:t> </w:t>
            </w:r>
          </w:p>
        </w:tc>
        <w:tc>
          <w:tcPr>
            <w:tcW w:w="12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192,807</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210,607</w:t>
            </w:r>
            <w:r>
              <w:rPr>
                <w:color w:val="000000"/>
              </w:rPr>
              <w:t> </w:t>
            </w:r>
          </w:p>
        </w:tc>
        <w:tc>
          <w:tcPr>
            <w:tcW w:w="15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100" w:after="100"/>
        <w:ind w:left="0" w:right="0" w:firstLine="720"/>
        <w:jc w:val="right"/>
        <w:rPr>
          <w:rFonts w:ascii="Arial;sans-serif" w:hAnsi="Arial;sans-serif"/>
          <w:b/>
          <w:color w:val="000000"/>
          <w:sz w:val="20"/>
        </w:rPr>
      </w:pPr>
      <w:r>
        <w:rPr>
          <w:rFonts w:ascii="Arial;sans-serif" w:hAnsi="Arial;sans-serif"/>
          <w:b/>
          <w:color w:val="000000"/>
          <w:sz w:val="20"/>
        </w:rPr>
        <w:t xml:space="preserve">Exhibit 99.2 </w: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Quarterly Statistical Information</w:t>
      </w:r>
    </w:p>
    <w:tbl>
      <w:tblPr>
        <w:tblW w:w="10205" w:type="dxa"/>
        <w:jc w:val="left"/>
        <w:tblInd w:w="0" w:type="dxa"/>
        <w:tblLayout w:type="fixed"/>
        <w:tblCellMar>
          <w:top w:w="28" w:type="dxa"/>
          <w:left w:w="28" w:type="dxa"/>
          <w:bottom w:w="28" w:type="dxa"/>
          <w:right w:w="28" w:type="dxa"/>
        </w:tblCellMar>
      </w:tblPr>
      <w:tblGrid>
        <w:gridCol w:w="924"/>
        <w:gridCol w:w="610"/>
        <w:gridCol w:w="613"/>
        <w:gridCol w:w="315"/>
        <w:gridCol w:w="1458"/>
        <w:gridCol w:w="404"/>
        <w:gridCol w:w="211"/>
        <w:gridCol w:w="976"/>
        <w:gridCol w:w="271"/>
        <w:gridCol w:w="211"/>
        <w:gridCol w:w="976"/>
        <w:gridCol w:w="271"/>
        <w:gridCol w:w="211"/>
        <w:gridCol w:w="976"/>
        <w:gridCol w:w="271"/>
        <w:gridCol w:w="211"/>
        <w:gridCol w:w="976"/>
        <w:gridCol w:w="320"/>
      </w:tblGrid>
      <w:tr>
        <w:trPr/>
        <w:tc>
          <w:tcPr>
            <w:tcW w:w="92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3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Building Materials Distribution Segment</w:t>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4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4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4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50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General line sales</w:t>
            </w:r>
            <w:r>
              <w:rPr>
                <w:rFonts w:ascii="Arial;sans-serif" w:hAnsi="Arial;sans-serif"/>
                <w:b w:val="false"/>
                <w:color w:val="000000"/>
                <w:sz w:val="12"/>
              </w:rPr>
              <w:t>1</w:t>
            </w:r>
          </w:p>
        </w:tc>
        <w:tc>
          <w:tcPr>
            <w:tcW w:w="1773"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320"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Commodity sales</w:t>
            </w:r>
            <w:r>
              <w:rPr>
                <w:rFonts w:ascii="Arial;sans-serif" w:hAnsi="Arial;sans-serif"/>
                <w:b w:val="false"/>
                <w:color w:val="000000"/>
                <w:sz w:val="12"/>
              </w:rPr>
              <w:t>1</w:t>
            </w:r>
          </w:p>
        </w:tc>
        <w:tc>
          <w:tcPr>
            <w:tcW w:w="17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EWP sales</w:t>
            </w:r>
            <w:r>
              <w:rPr>
                <w:rFonts w:ascii="Arial;sans-serif" w:hAnsi="Arial;sans-serif"/>
                <w:b w:val="false"/>
                <w:color w:val="000000"/>
                <w:sz w:val="12"/>
              </w:rPr>
              <w:t>1</w:t>
            </w:r>
          </w:p>
        </w:tc>
        <w:tc>
          <w:tcPr>
            <w:tcW w:w="17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sales (000)</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1,388,948 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1,697,494 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3,086,442 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Gross margin</w:t>
            </w:r>
            <w:r>
              <w:rPr>
                <w:rFonts w:ascii="Arial;sans-serif" w:hAnsi="Arial;sans-serif"/>
                <w:b w:val="false"/>
                <w:color w:val="000000"/>
                <w:sz w:val="12"/>
              </w:rPr>
              <w:t>2</w:t>
            </w:r>
          </w:p>
        </w:tc>
        <w:tc>
          <w:tcPr>
            <w:tcW w:w="17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income (000)</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32,942 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103,059 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depreciation and amortization (000)</w:t>
            </w:r>
          </w:p>
        </w:tc>
        <w:tc>
          <w:tcPr>
            <w:tcW w:w="31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15,283 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30,788 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Segment EBITDA (000)</w:t>
            </w:r>
            <w:r>
              <w:rPr>
                <w:rFonts w:ascii="Arial;sans-serif" w:hAnsi="Arial;sans-serif"/>
                <w:b w:val="false"/>
                <w:color w:val="000000"/>
                <w:sz w:val="12"/>
              </w:rPr>
              <w:t>3</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48,225 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85,622 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133,847 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EBITDA as a percentage of sales</w:t>
            </w:r>
          </w:p>
        </w:tc>
        <w:tc>
          <w:tcPr>
            <w:tcW w:w="17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Capital spending (000)</w:t>
            </w:r>
            <w:r>
              <w:rPr>
                <w:rFonts w:ascii="Arial;sans-serif" w:hAnsi="Arial;sans-serif"/>
                <w:b w:val="false"/>
                <w:color w:val="000000"/>
                <w:sz w:val="12"/>
              </w:rPr>
              <w:t>4</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25,394 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33,586 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Receivables (000)</w:t>
            </w:r>
          </w:p>
        </w:tc>
        <w:tc>
          <w:tcPr>
            <w:tcW w:w="31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446,083 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 (000)</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635,409 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 (000)</w:t>
            </w:r>
          </w:p>
        </w:tc>
        <w:tc>
          <w:tcPr>
            <w:tcW w:w="31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392,747 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373,549 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4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4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45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50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General line sales</w:t>
            </w:r>
            <w:r>
              <w:rPr>
                <w:rFonts w:ascii="Arial;sans-serif" w:hAnsi="Arial;sans-serif"/>
                <w:b w:val="false"/>
                <w:color w:val="000000"/>
                <w:sz w:val="12"/>
              </w:rPr>
              <w:t>1</w:t>
            </w:r>
          </w:p>
        </w:tc>
        <w:tc>
          <w:tcPr>
            <w:tcW w:w="1773"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320"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Commodity sales</w:t>
            </w:r>
            <w:r>
              <w:rPr>
                <w:rFonts w:ascii="Arial;sans-serif" w:hAnsi="Arial;sans-serif"/>
                <w:b w:val="false"/>
                <w:color w:val="000000"/>
                <w:sz w:val="12"/>
              </w:rPr>
              <w:t>1</w:t>
            </w:r>
          </w:p>
        </w:tc>
        <w:tc>
          <w:tcPr>
            <w:tcW w:w="1773"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EWP sales</w:t>
            </w:r>
            <w:r>
              <w:rPr>
                <w:rFonts w:ascii="Arial;sans-serif" w:hAnsi="Arial;sans-serif"/>
                <w:b w:val="false"/>
                <w:color w:val="000000"/>
                <w:sz w:val="12"/>
              </w:rPr>
              <w:t>1</w:t>
            </w:r>
          </w:p>
        </w:tc>
        <w:tc>
          <w:tcPr>
            <w:tcW w:w="17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sales (000)</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1,407,116 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1,614,915 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1,556,150 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5,941,297 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Gross margin</w:t>
            </w:r>
            <w:r>
              <w:rPr>
                <w:rFonts w:ascii="Arial;sans-serif" w:hAnsi="Arial;sans-serif"/>
                <w:b w:val="false"/>
                <w:color w:val="000000"/>
                <w:sz w:val="12"/>
              </w:rPr>
              <w:t>2</w:t>
            </w:r>
          </w:p>
        </w:tc>
        <w:tc>
          <w:tcPr>
            <w:tcW w:w="17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income (000)</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48,417 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41,482 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222,218 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depreciation and amortization (000)</w:t>
            </w:r>
          </w:p>
        </w:tc>
        <w:tc>
          <w:tcPr>
            <w:tcW w:w="31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14,362 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14,967 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58,689 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Segment EBITDA (000)</w:t>
            </w:r>
            <w:r>
              <w:rPr>
                <w:rFonts w:ascii="Arial;sans-serif" w:hAnsi="Arial;sans-serif"/>
                <w:b w:val="false"/>
                <w:color w:val="000000"/>
                <w:sz w:val="12"/>
              </w:rPr>
              <w:t>3</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62,779 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91,848 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69,831 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280,907 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EBITDA as a percentage of sales</w:t>
            </w:r>
          </w:p>
        </w:tc>
        <w:tc>
          <w:tcPr>
            <w:tcW w:w="1773"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320"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Capital spending (000)</w:t>
            </w:r>
            <w:r>
              <w:rPr>
                <w:rFonts w:ascii="Arial;sans-serif" w:hAnsi="Arial;sans-serif"/>
                <w:b w:val="false"/>
                <w:color w:val="000000"/>
                <w:sz w:val="12"/>
              </w:rPr>
              <w:t>5</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22,431 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104,596 </w:t>
            </w:r>
          </w:p>
        </w:tc>
        <w:tc>
          <w:tcPr>
            <w:tcW w:w="320"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Receivables (000)</w:t>
            </w:r>
          </w:p>
        </w:tc>
        <w:tc>
          <w:tcPr>
            <w:tcW w:w="31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438,218 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444,290 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426,039 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316,049 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 (000)</w:t>
            </w:r>
          </w:p>
        </w:tc>
        <w:tc>
          <w:tcPr>
            <w:tcW w:w="31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660,970 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588,017 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543,245 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 (000)</w:t>
            </w:r>
          </w:p>
        </w:tc>
        <w:tc>
          <w:tcPr>
            <w:tcW w:w="315"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8"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438,404 </w:t>
            </w:r>
          </w:p>
        </w:tc>
        <w:tc>
          <w:tcPr>
            <w:tcW w:w="404"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365,966 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301,968 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204,361 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Quarterly Statistical Information (continued)</w:t>
      </w:r>
    </w:p>
    <w:tbl>
      <w:tblPr>
        <w:tblW w:w="10205" w:type="dxa"/>
        <w:jc w:val="center"/>
        <w:tblInd w:w="0" w:type="dxa"/>
        <w:tblLayout w:type="fixed"/>
        <w:tblCellMar>
          <w:top w:w="28" w:type="dxa"/>
          <w:left w:w="28" w:type="dxa"/>
          <w:bottom w:w="28" w:type="dxa"/>
          <w:right w:w="28" w:type="dxa"/>
        </w:tblCellMar>
      </w:tblPr>
      <w:tblGrid>
        <w:gridCol w:w="858"/>
        <w:gridCol w:w="465"/>
        <w:gridCol w:w="467"/>
        <w:gridCol w:w="257"/>
        <w:gridCol w:w="1193"/>
        <w:gridCol w:w="331"/>
        <w:gridCol w:w="257"/>
        <w:gridCol w:w="1193"/>
        <w:gridCol w:w="331"/>
        <w:gridCol w:w="231"/>
        <w:gridCol w:w="1070"/>
        <w:gridCol w:w="297"/>
        <w:gridCol w:w="231"/>
        <w:gridCol w:w="1070"/>
        <w:gridCol w:w="297"/>
        <w:gridCol w:w="231"/>
        <w:gridCol w:w="1070"/>
        <w:gridCol w:w="356"/>
      </w:tblGrid>
      <w:tr>
        <w:trPr/>
        <w:tc>
          <w:tcPr>
            <w:tcW w:w="85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53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Building Materials Distribution Segment (continued)</w:t>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78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5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59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65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General line sales</w:t>
            </w:r>
            <w:r>
              <w:rPr>
                <w:rFonts w:ascii="Arial;sans-serif" w:hAnsi="Arial;sans-serif"/>
                <w:b w:val="false"/>
                <w:color w:val="000000"/>
                <w:sz w:val="12"/>
              </w:rPr>
              <w:t>1</w:t>
            </w:r>
          </w:p>
        </w:tc>
        <w:tc>
          <w:tcPr>
            <w:tcW w:w="1450"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0"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2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356"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Commodity sales</w:t>
            </w:r>
            <w:r>
              <w:rPr>
                <w:rFonts w:ascii="Arial;sans-serif" w:hAnsi="Arial;sans-serif"/>
                <w:b w:val="false"/>
                <w:color w:val="000000"/>
                <w:sz w:val="12"/>
              </w:rPr>
              <w:t>1</w:t>
            </w:r>
          </w:p>
        </w:tc>
        <w:tc>
          <w:tcPr>
            <w:tcW w:w="14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0"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356"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EWP sales</w:t>
            </w:r>
            <w:r>
              <w:rPr>
                <w:rFonts w:ascii="Arial;sans-serif" w:hAnsi="Arial;sans-serif"/>
                <w:b w:val="false"/>
                <w:color w:val="000000"/>
                <w:sz w:val="12"/>
              </w:rPr>
              <w:t>1</w:t>
            </w:r>
          </w:p>
        </w:tc>
        <w:tc>
          <w:tcPr>
            <w:tcW w:w="14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35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sales (000)</w:t>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1,505,021 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1,655,221 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1,567,466 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1,438,785 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6,166,493 </w:t>
            </w:r>
          </w:p>
        </w:tc>
        <w:tc>
          <w:tcPr>
            <w:tcW w:w="3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Gross margin</w:t>
            </w:r>
            <w:r>
              <w:rPr>
                <w:rFonts w:ascii="Arial;sans-serif" w:hAnsi="Arial;sans-serif"/>
                <w:b w:val="false"/>
                <w:color w:val="000000"/>
                <w:sz w:val="12"/>
              </w:rPr>
              <w:t>2</w:t>
            </w:r>
          </w:p>
        </w:tc>
        <w:tc>
          <w:tcPr>
            <w:tcW w:w="14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35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income (000)</w:t>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72,463 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74,821 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70,701 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303,385 </w:t>
            </w:r>
          </w:p>
        </w:tc>
        <w:tc>
          <w:tcPr>
            <w:tcW w:w="3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depreciation and amortization (000)</w:t>
            </w:r>
          </w:p>
        </w:tc>
        <w:tc>
          <w:tcPr>
            <w:tcW w:w="25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11,107 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11,741 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49,534 </w:t>
            </w:r>
          </w:p>
        </w:tc>
        <w:tc>
          <w:tcPr>
            <w:tcW w:w="356"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Segment EBITDA (000)</w:t>
            </w:r>
            <w:r>
              <w:rPr>
                <w:rFonts w:ascii="Arial;sans-serif" w:hAnsi="Arial;sans-serif"/>
                <w:b w:val="false"/>
                <w:color w:val="000000"/>
                <w:sz w:val="12"/>
              </w:rPr>
              <w:t>3</w:t>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83,570 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97,141 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87,749 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84,459 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352,919 </w:t>
            </w:r>
          </w:p>
        </w:tc>
        <w:tc>
          <w:tcPr>
            <w:tcW w:w="3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EBITDA as a percentage of sales</w:t>
            </w:r>
          </w:p>
        </w:tc>
        <w:tc>
          <w:tcPr>
            <w:tcW w:w="14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50"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1"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356"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Capital spending (000)</w:t>
            </w:r>
            <w:r>
              <w:rPr>
                <w:rFonts w:ascii="Arial;sans-serif" w:hAnsi="Arial;sans-serif"/>
                <w:b w:val="false"/>
                <w:color w:val="000000"/>
                <w:sz w:val="12"/>
              </w:rPr>
              <w:t>6</w:t>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14,672 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21,904 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36,902 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34,115 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107,593 </w:t>
            </w:r>
          </w:p>
        </w:tc>
        <w:tc>
          <w:tcPr>
            <w:tcW w:w="356"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Receivables (000)</w:t>
            </w:r>
          </w:p>
        </w:tc>
        <w:tc>
          <w:tcPr>
            <w:tcW w:w="25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453,083 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436,992 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386,303 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315,698 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 (000)</w:t>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601,546 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626,044 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566,056 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557,977 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 (000)</w:t>
            </w:r>
          </w:p>
        </w:tc>
        <w:tc>
          <w:tcPr>
            <w:tcW w:w="25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412,919 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392,798 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300,978 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226,236 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1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2"/>
              </w:rPr>
              <w:t>1</w:t>
            </w:r>
            <w:r>
              <w:rPr>
                <w:rFonts w:ascii="Arial;sans-serif" w:hAnsi="Arial;sans-serif"/>
                <w:b w:val="false"/>
                <w:color w:val="000000"/>
                <w:sz w:val="18"/>
              </w:rPr>
              <w:t>Product line sales are shown as a percentage of total Building Materials Distribution (BMD) sales.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2"/>
              </w:rPr>
              <w:t>2</w:t>
            </w:r>
            <w:r>
              <w:rPr>
                <w:rFonts w:ascii="Arial;sans-serif" w:hAnsi="Arial;sans-serif"/>
                <w:b w:val="false"/>
                <w:color w:val="000000"/>
                <w:sz w:val="18"/>
              </w:rPr>
              <w:t>We define gross margin as "Sales" less "Materials, labor, and other operating expenses (excluding depreciation)." Substantially all costs included in "Materials, labor, and other operating expenses (excluding depreciation)" for our BMD segment are for inventory purchased for resale. Gross margin percentage is gross margin as a percentage of segment sales.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2"/>
              </w:rPr>
              <w:t>3</w:t>
            </w:r>
            <w:r>
              <w:rPr>
                <w:rFonts w:ascii="Arial;sans-serif" w:hAnsi="Arial;sans-serif"/>
                <w:b w:val="false"/>
                <w:color w:val="000000"/>
                <w:sz w:val="18"/>
              </w:rPr>
              <w:t>Segment EBITDA is calculated as segment income before depreciation and amortization.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4</w:t>
            </w:r>
            <w:r>
              <w:rPr>
                <w:rFonts w:ascii="Arial;sans-serif" w:hAnsi="Arial;sans-serif"/>
                <w:b w:val="false"/>
                <w:color w:val="000000"/>
                <w:sz w:val="18"/>
              </w:rPr>
              <w:t>During 2026, capital spending in first quarter includes approximately $13 million to purchase previously leased BMD properties in Boise, Idaho and Grand Junction, Colorado.</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5</w:t>
            </w:r>
            <w:r>
              <w:rPr>
                <w:rFonts w:ascii="Arial;sans-serif" w:hAnsi="Arial;sans-serif"/>
                <w:b w:val="false"/>
                <w:color w:val="000000"/>
                <w:sz w:val="18"/>
              </w:rPr>
              <w:t>During 2025, capital spending in second quarter includes approximately $17 million to purchase previously leased BMD properties in Chicago, Illinois and Minneapolis, Minnesota. Capital spending in fourth quarter 2025 excludes approximately $33 million for the acquisition of businesses and facilities, net of cash acquired.</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6</w:t>
            </w:r>
            <w:r>
              <w:rPr>
                <w:rFonts w:ascii="Arial;sans-serif" w:hAnsi="Arial;sans-serif"/>
                <w:b w:val="false"/>
                <w:color w:val="000000"/>
                <w:sz w:val="18"/>
              </w:rPr>
              <w:t>During 2024, capital spending in third quarter includes approximately $20 million to purchase a previously leased BMD property in Westfield, Massachusetts. Capital spending in fourth quarter 2024 includes approximately $5 million to purchase a previously leased property in Chicago, Illinois.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100"/>
        <w:ind w:left="0" w:right="0" w:firstLine="720"/>
        <w:jc w:val="right"/>
        <w:rPr/>
      </w:pPr>
      <w:r>
        <w:rPr/>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Quarterly Statistical Information (continued)</w:t>
      </w:r>
    </w:p>
    <w:tbl>
      <w:tblPr>
        <w:tblW w:w="10205" w:type="dxa"/>
        <w:jc w:val="center"/>
        <w:tblInd w:w="0" w:type="dxa"/>
        <w:tblLayout w:type="fixed"/>
        <w:tblCellMar>
          <w:top w:w="28" w:type="dxa"/>
          <w:left w:w="28" w:type="dxa"/>
          <w:bottom w:w="28" w:type="dxa"/>
          <w:right w:w="28" w:type="dxa"/>
        </w:tblCellMar>
      </w:tblPr>
      <w:tblGrid>
        <w:gridCol w:w="1266"/>
        <w:gridCol w:w="1098"/>
        <w:gridCol w:w="1104"/>
        <w:gridCol w:w="211"/>
        <w:gridCol w:w="826"/>
        <w:gridCol w:w="271"/>
        <w:gridCol w:w="211"/>
        <w:gridCol w:w="826"/>
        <w:gridCol w:w="271"/>
        <w:gridCol w:w="211"/>
        <w:gridCol w:w="826"/>
        <w:gridCol w:w="271"/>
        <w:gridCol w:w="211"/>
        <w:gridCol w:w="826"/>
        <w:gridCol w:w="271"/>
        <w:gridCol w:w="211"/>
        <w:gridCol w:w="976"/>
        <w:gridCol w:w="318"/>
      </w:tblGrid>
      <w:tr>
        <w:trPr/>
        <w:tc>
          <w:tcPr>
            <w:tcW w:w="12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Wood Products Segment</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5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LVL sales volume (MCF)</w:t>
            </w:r>
          </w:p>
        </w:tc>
        <w:tc>
          <w:tcPr>
            <w:tcW w:w="103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9,883 </w:t>
            </w:r>
          </w:p>
        </w:tc>
        <w:tc>
          <w:tcPr>
            <w:tcW w:w="318"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I-joist sales volume (MELF)</w:t>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113,361 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Plywood sales volume (MSF 3/8")</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741,087 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Lumber sales volume (MBF)</w:t>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42,471 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LVL mill net sales price ($/CF)</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24.16 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I-joist mill net sales price ($/MELF)</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Plywood net sales price ($/MSF 3/8")</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Lumber net sales price ($/MBF)</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sales (000)</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857,807 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income (000)</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34,145 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depreciation and amortization (000)</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50,183 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Segment EBITDA (000)</w:t>
            </w:r>
            <w:r>
              <w:rPr>
                <w:rFonts w:ascii="Arial;sans-serif" w:hAnsi="Arial;sans-serif"/>
                <w:b w:val="false"/>
                <w:color w:val="000000"/>
                <w:sz w:val="12"/>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84,328 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EBITDA as a percentage of sales</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Capital spending (000)</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31,817 </w:t>
            </w:r>
          </w:p>
        </w:tc>
        <w:tc>
          <w:tcPr>
            <w:tcW w:w="318"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Receivables (000)</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79,595 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 (000)</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242,385 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 (000)</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308"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5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LVL sales volume (MCF)</w:t>
            </w:r>
          </w:p>
        </w:tc>
        <w:tc>
          <w:tcPr>
            <w:tcW w:w="103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5,457 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4,612 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18,913 </w:t>
            </w:r>
          </w:p>
        </w:tc>
        <w:tc>
          <w:tcPr>
            <w:tcW w:w="318"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I-joist sales volume (MELF)</w:t>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62,469 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215,165 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Plywood sales volume (MSF 3/8")</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362,779 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355,714 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387,278 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1,459,760 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Lumber sales volume (MBF)</w:t>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73,202 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LVL mill net sales price ($/CF)</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24.90 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I-joist mill net sales price ($/MELF)</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1,755 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Plywood net sales price ($/MSF 3/8")</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Lumber net sales price ($/MBF)</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sales (000)</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447,235 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396,401 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353,960 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1,613,441 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income (loss) (000)</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5,836 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depreciation and amortization (000)</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98,456 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Segment EBITDA (000)</w:t>
            </w:r>
            <w:r>
              <w:rPr>
                <w:rFonts w:ascii="Arial;sans-serif" w:hAnsi="Arial;sans-serif"/>
                <w:b w:val="false"/>
                <w:color w:val="000000"/>
                <w:sz w:val="12"/>
              </w:rPr>
              <w:t>1</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104,292 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EBITDA as a percentage of sales</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3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187"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Capital spending (000)</w:t>
            </w:r>
            <w:r>
              <w:rPr>
                <w:rFonts w:ascii="Arial;sans-serif" w:hAnsi="Arial;sans-serif"/>
                <w:b w:val="false"/>
                <w:color w:val="000000"/>
                <w:sz w:val="12"/>
              </w:rPr>
              <w:t>2</w:t>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30,689 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136,590 </w:t>
            </w:r>
          </w:p>
        </w:tc>
        <w:tc>
          <w:tcPr>
            <w:tcW w:w="318"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Receivables (000)</w:t>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 (000)</w:t>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260,464 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257,046 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256,341 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252,479 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34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 (000)</w:t>
            </w:r>
          </w:p>
        </w:tc>
        <w:tc>
          <w:tcPr>
            <w:tcW w:w="21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74,749 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76,124 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66,265 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51,976 </w:t>
            </w:r>
          </w:p>
        </w:tc>
        <w:tc>
          <w:tcPr>
            <w:tcW w:w="271"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left w:val="single" w:sz="8" w:space="0" w:color="000000"/>
              <w:bottom w:val="single" w:sz="8" w:space="0" w:color="000000"/>
              <w:right w:val="single" w:sz="8" w:space="0" w:color="000000"/>
            </w:tcBorders>
            <w:shd w:fill="CCEEFF" w:val="clear"/>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Boise Cascade Company</w:t>
      </w:r>
    </w:p>
    <w:p>
      <w:pPr>
        <w:pStyle w:val="TextBody"/>
        <w:bidi w:val="0"/>
        <w:spacing w:lineRule="auto" w:line="288" w:before="100" w:after="100"/>
        <w:jc w:val="center"/>
        <w:rPr>
          <w:rFonts w:ascii="Arial;sans-serif" w:hAnsi="Arial;sans-serif"/>
          <w:b/>
          <w:color w:val="000000"/>
          <w:sz w:val="24"/>
        </w:rPr>
      </w:pPr>
      <w:r>
        <w:rPr>
          <w:rFonts w:ascii="Arial;sans-serif" w:hAnsi="Arial;sans-serif"/>
          <w:b/>
          <w:color w:val="000000"/>
          <w:sz w:val="24"/>
        </w:rPr>
        <w:t>Quarterly Statistical Information (continued)</w:t>
      </w:r>
    </w:p>
    <w:tbl>
      <w:tblPr>
        <w:tblW w:w="10205" w:type="dxa"/>
        <w:jc w:val="center"/>
        <w:tblInd w:w="0" w:type="dxa"/>
        <w:tblLayout w:type="fixed"/>
        <w:tblCellMar>
          <w:top w:w="28" w:type="dxa"/>
          <w:left w:w="28" w:type="dxa"/>
          <w:bottom w:w="28" w:type="dxa"/>
          <w:right w:w="28" w:type="dxa"/>
        </w:tblCellMar>
      </w:tblPr>
      <w:tblGrid>
        <w:gridCol w:w="808"/>
        <w:gridCol w:w="711"/>
        <w:gridCol w:w="713"/>
        <w:gridCol w:w="249"/>
        <w:gridCol w:w="977"/>
        <w:gridCol w:w="320"/>
        <w:gridCol w:w="249"/>
        <w:gridCol w:w="977"/>
        <w:gridCol w:w="320"/>
        <w:gridCol w:w="249"/>
        <w:gridCol w:w="977"/>
        <w:gridCol w:w="320"/>
        <w:gridCol w:w="249"/>
        <w:gridCol w:w="977"/>
        <w:gridCol w:w="320"/>
        <w:gridCol w:w="249"/>
        <w:gridCol w:w="1155"/>
        <w:gridCol w:w="385"/>
      </w:tblGrid>
      <w:tr>
        <w:trPr/>
        <w:tc>
          <w:tcPr>
            <w:tcW w:w="808"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Wood Products Segment (continued)</w:t>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54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54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54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78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LVL sales volume (MCF)</w:t>
            </w:r>
          </w:p>
        </w:tc>
        <w:tc>
          <w:tcPr>
            <w:tcW w:w="1226"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4,777 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5,074 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4,952 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4,561 </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left w:val="single" w:sz="8" w:space="0" w:color="000000"/>
            </w:tcBorders>
            <w:shd w:fill="CCEEFF" w:val="clear"/>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19,364 </w:t>
            </w:r>
          </w:p>
        </w:tc>
        <w:tc>
          <w:tcPr>
            <w:tcW w:w="385" w:type="dxa"/>
            <w:tcBorders>
              <w:top w:val="single" w:sz="8" w:space="0" w:color="000000"/>
              <w:right w:val="single" w:sz="8" w:space="0" w:color="000000"/>
            </w:tcBorders>
            <w:shd w:fill="CCEE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I-joist sales volume (MELF)</w:t>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65,788 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58,884 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53,081 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234,340 </w:t>
            </w:r>
          </w:p>
        </w:tc>
        <w:tc>
          <w:tcPr>
            <w:tcW w:w="3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Plywood sales volume (MSF 3/8")</w:t>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371,699 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383,092 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390,978 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371,263 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1,517,032 </w:t>
            </w:r>
          </w:p>
        </w:tc>
        <w:tc>
          <w:tcPr>
            <w:tcW w:w="38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Lumber sales volume (MBF)</w:t>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17,619 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19,390 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18,429 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78,210 </w:t>
            </w:r>
          </w:p>
        </w:tc>
        <w:tc>
          <w:tcPr>
            <w:tcW w:w="3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LVL mill net sales price ($/CF)</w:t>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27.87 </w:t>
            </w:r>
          </w:p>
        </w:tc>
        <w:tc>
          <w:tcPr>
            <w:tcW w:w="38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I-joist mill net sales price ($/MELF)</w:t>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1,949 </w:t>
            </w:r>
          </w:p>
        </w:tc>
        <w:tc>
          <w:tcPr>
            <w:tcW w:w="3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Plywood net sales price ($/MSF 3/8")</w:t>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38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Lumber net sales price ($/MBF)</w:t>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682 </w:t>
            </w:r>
          </w:p>
        </w:tc>
        <w:tc>
          <w:tcPr>
            <w:tcW w:w="3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sales (000)</w:t>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468,928 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489,823 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453,896 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419,670 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1,832,317 </w:t>
            </w:r>
          </w:p>
        </w:tc>
        <w:tc>
          <w:tcPr>
            <w:tcW w:w="38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income (000)</w:t>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71,238 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72,780 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53,853 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33,583 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231,454 </w:t>
            </w:r>
          </w:p>
        </w:tc>
        <w:tc>
          <w:tcPr>
            <w:tcW w:w="3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Segment depreciation and amortization (000)</w:t>
            </w:r>
            <w:r>
              <w:rPr>
                <w:rFonts w:ascii="Arial;sans-serif" w:hAnsi="Arial;sans-serif"/>
                <w:b w:val="false"/>
                <w:color w:val="000000"/>
                <w:sz w:val="12"/>
              </w:rPr>
              <w:t>3</w:t>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22,270 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23,551 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22,998 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93,203 </w:t>
            </w:r>
          </w:p>
        </w:tc>
        <w:tc>
          <w:tcPr>
            <w:tcW w:w="385"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Segment EBITDA (000)</w:t>
            </w:r>
            <w:r>
              <w:rPr>
                <w:rFonts w:ascii="Arial;sans-serif" w:hAnsi="Arial;sans-serif"/>
                <w:b w:val="false"/>
                <w:color w:val="000000"/>
                <w:sz w:val="12"/>
              </w:rPr>
              <w:t>1</w:t>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95,622 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95,050 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77,404 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56,581 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324,657 </w:t>
            </w:r>
          </w:p>
        </w:tc>
        <w:tc>
          <w:tcPr>
            <w:tcW w:w="385"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EBITDA as a percentage of sales</w:t>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22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404"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385"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color w:val="000000"/>
                <w:sz w:val="18"/>
              </w:rPr>
              <w:t>Capital spending (000)</w:t>
            </w:r>
            <w:r>
              <w:rPr>
                <w:rFonts w:ascii="Arial;sans-serif" w:hAnsi="Arial;sans-serif"/>
                <w:b w:val="false"/>
                <w:color w:val="000000"/>
                <w:sz w:val="12"/>
              </w:rPr>
              <w:t>2</w:t>
            </w:r>
          </w:p>
        </w:tc>
        <w:tc>
          <w:tcPr>
            <w:tcW w:w="24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19,643 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17,804 </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59,663 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121,870 </w:t>
            </w:r>
          </w:p>
        </w:tc>
        <w:tc>
          <w:tcPr>
            <w:tcW w:w="385"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Receivables (000)</w:t>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84,892 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83,445 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77,244 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55,719 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Inventories (000)</w:t>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213,050 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206,198 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226,300 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245,320 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Accounts payable (000)</w:t>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61,834 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66,374 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73,922 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61,800 </w:t>
            </w:r>
          </w:p>
        </w:tc>
        <w:tc>
          <w:tcPr>
            <w:tcW w:w="3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2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40"/>
              <w:jc w:val="left"/>
              <w:rPr/>
            </w:pPr>
            <w:r>
              <w:rPr>
                <w:rFonts w:ascii="Arial;sans-serif" w:hAnsi="Arial;sans-serif"/>
                <w:b w:val="false"/>
                <w:color w:val="000000"/>
                <w:sz w:val="12"/>
              </w:rPr>
              <w:t>1</w:t>
            </w:r>
            <w:r>
              <w:rPr>
                <w:rFonts w:ascii="Arial;sans-serif" w:hAnsi="Arial;sans-serif"/>
                <w:b w:val="false"/>
                <w:color w:val="000000"/>
                <w:sz w:val="18"/>
              </w:rPr>
              <w:t>Segment EBITDA is calculated as segment income before depreciation and amortization.</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2"/>
              </w:rPr>
              <w:t>2</w:t>
            </w:r>
            <w:r>
              <w:rPr>
                <w:rFonts w:ascii="Arial;sans-serif" w:hAnsi="Arial;sans-serif"/>
                <w:b w:val="false"/>
                <w:color w:val="000000"/>
                <w:sz w:val="18"/>
              </w:rPr>
              <w:t>Capital spending in 2025 and 2024 for our Wood Products segment includes spending on significant modernization projects at our Oakdale, Louisiana veneer and plywood mill, spending to add I-joist production capabilities at our Thorsby, Alabama EWP mill, as well as spending to convert a plywood layup line to a parallel laminated veneer line at our Chapman, Alabama veneer and plywood mill.</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40" w:after="283"/>
              <w:jc w:val="left"/>
              <w:rPr/>
            </w:pPr>
            <w:r>
              <w:rPr>
                <w:rFonts w:ascii="Arial;sans-serif" w:hAnsi="Arial;sans-serif"/>
                <w:b w:val="false"/>
                <w:color w:val="000000"/>
                <w:sz w:val="12"/>
              </w:rPr>
              <w:t>3</w:t>
            </w:r>
            <w:r>
              <w:rPr>
                <w:rFonts w:ascii="Arial;sans-serif" w:hAnsi="Arial;sans-serif"/>
                <w:b w:val="false"/>
                <w:color w:val="000000"/>
                <w:sz w:val="18"/>
              </w:rPr>
              <w:t>Segment depreciation and amortization in first quarter 2024 includes accelerated depreciation of $2.2 million for the indefinite curtailment of lumber production assets at our Chapman, Alabama, facility.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88" w:before="100" w:after="100"/>
        <w:jc w:val="center"/>
        <w:rPr>
          <w:rFonts w:ascii="Arial;sans-serif" w:hAnsi="Arial;sans-serif"/>
          <w:b/>
          <w:color w:val="000000"/>
          <w:sz w:val="22"/>
        </w:rPr>
      </w:pPr>
      <w:r>
        <w:rPr>
          <w:rFonts w:ascii="Arial;sans-serif" w:hAnsi="Arial;sans-serif"/>
          <w:b/>
          <w:color w:val="000000"/>
          <w:sz w:val="22"/>
        </w:rPr>
        <w:t>Boise Cascade Company</w:t>
      </w:r>
    </w:p>
    <w:p>
      <w:pPr>
        <w:pStyle w:val="TextBody"/>
        <w:bidi w:val="0"/>
        <w:spacing w:lineRule="auto" w:line="288" w:before="100" w:after="100"/>
        <w:jc w:val="center"/>
        <w:rPr>
          <w:rFonts w:ascii="Arial;sans-serif" w:hAnsi="Arial;sans-serif"/>
          <w:b/>
          <w:color w:val="000000"/>
          <w:sz w:val="22"/>
        </w:rPr>
      </w:pPr>
      <w:r>
        <w:rPr>
          <w:rFonts w:ascii="Arial;sans-serif" w:hAnsi="Arial;sans-serif"/>
          <w:b/>
          <w:color w:val="000000"/>
          <w:sz w:val="22"/>
        </w:rPr>
        <w:t>Quarterly Statistical Information (continued)</w:t>
      </w:r>
    </w:p>
    <w:p>
      <w:pPr>
        <w:pStyle w:val="TextBody"/>
        <w:bidi w:val="0"/>
        <w:spacing w:lineRule="auto" w:line="288" w:before="100" w:after="100"/>
        <w:jc w:val="center"/>
        <w:rPr>
          <w:rFonts w:ascii="Arial;sans-serif" w:hAnsi="Arial;sans-serif"/>
          <w:b/>
          <w:color w:val="000000"/>
          <w:sz w:val="22"/>
        </w:rPr>
      </w:pPr>
      <w:r>
        <w:rPr>
          <w:rFonts w:ascii="Arial;sans-serif" w:hAnsi="Arial;sans-serif"/>
          <w:b/>
          <w:color w:val="000000"/>
          <w:sz w:val="22"/>
        </w:rPr>
        <w:t>Reconciliation of Non-GAAP Financial Measures</w:t>
      </w:r>
    </w:p>
    <w:p>
      <w:pPr>
        <w:pStyle w:val="TextBody"/>
        <w:bidi w:val="0"/>
        <w:spacing w:lineRule="auto" w:line="288" w:before="100" w:after="100"/>
        <w:jc w:val="center"/>
        <w:rPr>
          <w:rFonts w:ascii="Arial;sans-serif" w:hAnsi="Arial;sans-serif"/>
          <w:b/>
          <w:color w:val="000000"/>
          <w:sz w:val="22"/>
        </w:rPr>
      </w:pPr>
      <w:r>
        <w:rPr>
          <w:rFonts w:ascii="Arial;sans-serif" w:hAnsi="Arial;sans-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732"/>
        <w:gridCol w:w="502"/>
        <w:gridCol w:w="240"/>
        <w:gridCol w:w="314"/>
        <w:gridCol w:w="1255"/>
        <w:gridCol w:w="162"/>
        <w:gridCol w:w="314"/>
        <w:gridCol w:w="1255"/>
        <w:gridCol w:w="162"/>
        <w:gridCol w:w="314"/>
        <w:gridCol w:w="1255"/>
        <w:gridCol w:w="162"/>
        <w:gridCol w:w="314"/>
        <w:gridCol w:w="1255"/>
        <w:gridCol w:w="162"/>
        <w:gridCol w:w="314"/>
        <w:gridCol w:w="1255"/>
        <w:gridCol w:w="238"/>
      </w:tblGrid>
      <w:tr>
        <w:trPr/>
        <w:tc>
          <w:tcPr>
            <w:tcW w:w="73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2"/>
              </w:rPr>
            </w:pPr>
            <w:r>
              <w:rPr>
                <w:rFonts w:ascii="Arial;sans-serif" w:hAnsi="Arial;sans-serif"/>
                <w:b/>
                <w:color w:val="000000"/>
                <w:sz w:val="22"/>
              </w:rPr>
              <w:t>Total Boise Cascade Company</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 represents income before interest (interest expense and interest income), income taxes, and depreciation and amortization. Additionally, we disclose Adjusted EBITDA, which further adjusts EBITDA to exclude the change in fair value of interest rate swaps. The following tables reconcile net income to EBITDA and Adjusted EBITDA for the periods noted below:</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80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75,184 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13,125 </w:t>
            </w:r>
          </w:p>
        </w:tc>
        <w:tc>
          <w:tcPr>
            <w:tcW w:w="2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(5,089)</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27,820 </w:t>
            </w:r>
          </w:p>
        </w:tc>
        <w:tc>
          <w:tcPr>
            <w:tcW w:w="2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81,767 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66,567</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126,240</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192,807</w:t>
            </w:r>
            <w:r>
              <w:rPr>
                <w:color w:val="000000"/>
              </w:rPr>
              <w:t> </w:t>
            </w:r>
          </w:p>
        </w:tc>
        <w:tc>
          <w:tcPr>
            <w:tcW w:w="23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swaps</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66,567</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126,240</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192,807</w:t>
            </w:r>
            <w:r>
              <w:rPr>
                <w:color w:val="000000"/>
              </w:rPr>
              <w:t> </w:t>
            </w:r>
          </w:p>
        </w:tc>
        <w:tc>
          <w:tcPr>
            <w:tcW w:w="23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80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61,985 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132,836 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21,846 </w:t>
            </w:r>
          </w:p>
        </w:tc>
        <w:tc>
          <w:tcPr>
            <w:tcW w:w="2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(4,452)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(18,766)</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47,117 </w:t>
            </w:r>
          </w:p>
        </w:tc>
        <w:tc>
          <w:tcPr>
            <w:tcW w:w="2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37,121 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37,409 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41,313 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158,221 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91,117</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118,565</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74,381</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57,191</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341,254</w:t>
            </w:r>
            <w:r>
              <w:rPr>
                <w:color w:val="000000"/>
              </w:rPr>
              <w:t> </w:t>
            </w:r>
          </w:p>
        </w:tc>
        <w:tc>
          <w:tcPr>
            <w:tcW w:w="23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swaps</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91,607</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119,000</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74,381</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57,191</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342,179</w:t>
            </w:r>
            <w:r>
              <w:rPr>
                <w:color w:val="000000"/>
              </w:rPr>
              <w:t> </w:t>
            </w:r>
          </w:p>
        </w:tc>
        <w:tc>
          <w:tcPr>
            <w:tcW w:w="23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2024</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Q1</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Q2</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Q3</w:t>
            </w:r>
          </w:p>
        </w:tc>
        <w:tc>
          <w:tcPr>
            <w:tcW w:w="173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Q4</w:t>
            </w:r>
          </w:p>
        </w:tc>
        <w:tc>
          <w:tcPr>
            <w:tcW w:w="1807"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YTD</w:t>
            </w:r>
          </w:p>
        </w:tc>
      </w:tr>
      <w:tr>
        <w:trPr/>
        <w:tc>
          <w:tcPr>
            <w:tcW w:w="1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07"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112,292 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68,900 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376,354 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24,067 </w:t>
            </w:r>
          </w:p>
        </w:tc>
        <w:tc>
          <w:tcPr>
            <w:tcW w:w="2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(39,139)</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provision</w:t>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32,829 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125,405 </w:t>
            </w:r>
          </w:p>
        </w:tc>
        <w:tc>
          <w:tcPr>
            <w:tcW w:w="23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35,850 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36,861 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144,113 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EBITDA</w:t>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168,276</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180,720</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153,614</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128,190</w:t>
            </w:r>
            <w:r>
              <w:rPr>
                <w:color w:val="000000"/>
              </w:rPr>
              <w:t>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top w:val="single" w:sz="8" w:space="0" w:color="000000"/>
              <w:left w:val="single" w:sz="8" w:space="0" w:color="000000"/>
            </w:tcBorders>
            <w:shd w:fill="FFFFFF" w:val="clear"/>
            <w:tcMar>
              <w:top w:w="52"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630,800</w:t>
            </w:r>
            <w:r>
              <w:rPr>
                <w:color w:val="000000"/>
              </w:rPr>
              <w:t> </w:t>
            </w:r>
          </w:p>
        </w:tc>
        <w:tc>
          <w:tcPr>
            <w:tcW w:w="238" w:type="dxa"/>
            <w:tcBorders>
              <w:top w:val="single" w:sz="8" w:space="0" w:color="000000"/>
              <w:right w:val="single" w:sz="8" w:space="0" w:color="000000"/>
            </w:tcBorders>
            <w:shd w:fill="FFFFFF" w:val="clear"/>
            <w:tcMar>
              <w:top w:w="52"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fair value of interest rate swaps</w:t>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2,038 </w:t>
            </w:r>
          </w:p>
        </w:tc>
        <w:tc>
          <w:tcPr>
            <w:tcW w:w="23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7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807" w:type="dxa"/>
            <w:gridSpan w:val="3"/>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314"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168,496</w:t>
            </w: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181,207</w:t>
            </w: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154,480</w:t>
            </w: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128,655</w:t>
            </w:r>
            <w:r>
              <w:rPr>
                <w:color w:val="000000"/>
              </w:rPr>
              <w:t>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left w:val="single" w:sz="8" w:space="0" w:color="000000"/>
              <w:bottom w:val="double" w:sz="8" w:space="0" w:color="000000"/>
            </w:tcBorders>
            <w:shd w:fill="FFFFFF" w:val="clear"/>
            <w:tcMar>
              <w:top w:w="52"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12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632,838</w:t>
            </w:r>
            <w:r>
              <w:rPr>
                <w:color w:val="000000"/>
              </w:rPr>
              <w:t> </w:t>
            </w:r>
          </w:p>
        </w:tc>
        <w:tc>
          <w:tcPr>
            <w:tcW w:w="238" w:type="dxa"/>
            <w:tcBorders>
              <w:top w:val="single" w:sz="8" w:space="0" w:color="000000"/>
              <w:bottom w:val="double" w:sz="8" w:space="0" w:color="000000"/>
              <w:right w:val="single" w:sz="8" w:space="0" w:color="000000"/>
            </w:tcBorders>
            <w:shd w:fill="FFFFFF" w:val="clear"/>
            <w:tcMar>
              <w:top w:w="52"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For additional information regarding the non-GAAP measures presented in this document, please refer to our press release announcing our second quarter 2026 financial results, a copy of which is attached as Exhibit 99.1 to our Current Report on Form 8-K furnished to the Securities and Exchange Commission on August 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tbl>
      <w:tblPr>
        <w:tblW w:w="1587" w:type="dxa"/>
        <w:jc w:val="right"/>
        <w:tblInd w:w="0" w:type="dxa"/>
        <w:tblLayout w:type="fixed"/>
        <w:tblCellMar>
          <w:top w:w="28" w:type="dxa"/>
          <w:left w:w="28" w:type="dxa"/>
          <w:bottom w:w="28" w:type="dxa"/>
          <w:right w:w="28" w:type="dxa"/>
        </w:tblCellMar>
      </w:tblPr>
      <w:tblGrid>
        <w:gridCol w:w="124"/>
        <w:gridCol w:w="109"/>
        <w:gridCol w:w="109"/>
        <w:gridCol w:w="364"/>
        <w:gridCol w:w="364"/>
        <w:gridCol w:w="5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Exhibit 99.3</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drawing>
          <wp:inline distT="0" distB="0" distL="0" distR="0">
            <wp:extent cx="5943600" cy="1581150"/>
            <wp:effectExtent l="0" t="0" r="0" b="0"/>
            <wp:docPr id="2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 descr=""/>
                    <pic:cNvPicPr>
                      <a:picLocks noChangeAspect="1" noChangeArrowheads="1"/>
                    </pic:cNvPicPr>
                  </pic:nvPicPr>
                  <pic:blipFill>
                    <a:blip r:embed="rId3"/>
                    <a:stretch>
                      <a:fillRect/>
                    </a:stretch>
                  </pic:blipFill>
                  <pic:spPr bwMode="auto">
                    <a:xfrm>
                      <a:off x="0" y="0"/>
                      <a:ext cx="5943600" cy="1581150"/>
                    </a:xfrm>
                    <a:prstGeom prst="rect">
                      <a:avLst/>
                    </a:prstGeom>
                  </pic:spPr>
                </pic:pic>
              </a:graphicData>
            </a:graphic>
          </wp:inline>
        </w:drawing>
      </w:r>
    </w:p>
    <w:tbl>
      <w:tblPr>
        <w:tblW w:w="5621" w:type="dxa"/>
        <w:jc w:val="right"/>
        <w:tblInd w:w="0" w:type="dxa"/>
        <w:tblLayout w:type="fixed"/>
        <w:tblCellMar>
          <w:top w:w="28" w:type="dxa"/>
          <w:left w:w="28" w:type="dxa"/>
          <w:bottom w:w="28" w:type="dxa"/>
          <w:right w:w="28" w:type="dxa"/>
        </w:tblCellMar>
      </w:tblPr>
      <w:tblGrid>
        <w:gridCol w:w="1902"/>
        <w:gridCol w:w="1671"/>
        <w:gridCol w:w="1676"/>
        <w:gridCol w:w="109"/>
        <w:gridCol w:w="109"/>
        <w:gridCol w:w="154"/>
      </w:tblGrid>
      <w:tr>
        <w:trPr/>
        <w:tc>
          <w:tcPr>
            <w:tcW w:w="1902"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48"/>
              </w:rPr>
            </w:pPr>
            <w:r>
              <w:rPr>
                <w:rFonts w:ascii="Arial;sans-serif" w:hAnsi="Arial;sans-serif"/>
                <w:b w:val="false"/>
                <w:color w:val="000000"/>
                <w:sz w:val="48"/>
              </w:rPr>
              <w:t>Press Release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8"/>
              </w:rPr>
            </w:pPr>
            <w:r>
              <w:rPr>
                <w:rFonts w:ascii="Arial;sans-serif" w:hAnsi="Arial;sans-serif"/>
                <w:b w:val="false"/>
                <w:color w:val="000000"/>
                <w:sz w:val="28"/>
              </w:rPr>
              <w:t>For Immediate Release: August 3,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31" w:type="dxa"/>
        <w:jc w:val="left"/>
        <w:tblInd w:w="0" w:type="dxa"/>
        <w:tblLayout w:type="fixed"/>
        <w:tblCellMar>
          <w:top w:w="28" w:type="dxa"/>
          <w:left w:w="28" w:type="dxa"/>
          <w:bottom w:w="28" w:type="dxa"/>
          <w:right w:w="28" w:type="dxa"/>
        </w:tblCellMar>
      </w:tblPr>
      <w:tblGrid>
        <w:gridCol w:w="1146"/>
        <w:gridCol w:w="1008"/>
        <w:gridCol w:w="1010"/>
        <w:gridCol w:w="109"/>
        <w:gridCol w:w="109"/>
        <w:gridCol w:w="109"/>
        <w:gridCol w:w="685"/>
        <w:gridCol w:w="685"/>
        <w:gridCol w:w="970"/>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Boise Cascade Contacts</w:t>
            </w:r>
          </w:p>
          <w:p>
            <w:pPr>
              <w:pStyle w:val="TableContents"/>
              <w:bidi w:val="0"/>
              <w:spacing w:before="60" w:after="60"/>
              <w:jc w:val="left"/>
              <w:rPr/>
            </w:pPr>
            <w:r>
              <w:rPr/>
            </w:r>
          </w:p>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Investor Contact</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Chris Forrey</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SVP, Finance &amp; Investor Relations</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investor@bc.com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60" w:after="60"/>
              <w:jc w:val="right"/>
              <w:rPr>
                <w:rFonts w:ascii="Arial;sans-serif" w:hAnsi="Arial;sans-serif"/>
                <w:b/>
                <w:color w:val="000000"/>
                <w:sz w:val="20"/>
              </w:rPr>
            </w:pPr>
            <w:r>
              <w:rPr>
                <w:rFonts w:ascii="Arial;sans-serif" w:hAnsi="Arial;sans-serif"/>
                <w:b/>
                <w:color w:val="000000"/>
                <w:sz w:val="20"/>
              </w:rPr>
              <w:t>Media Contact</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Amy Evans</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Communications Director</w:t>
            </w:r>
          </w:p>
          <w:p>
            <w:pPr>
              <w:pStyle w:val="TableContents"/>
              <w:bidi w:val="0"/>
              <w:spacing w:lineRule="auto" w:line="240" w:before="60" w:after="60"/>
              <w:jc w:val="right"/>
              <w:rPr>
                <w:rFonts w:ascii="Arial;sans-serif" w:hAnsi="Arial;sans-serif"/>
                <w:b w:val="false"/>
                <w:color w:val="000000"/>
                <w:sz w:val="20"/>
              </w:rPr>
            </w:pPr>
            <w:r>
              <w:rPr>
                <w:rFonts w:ascii="Arial;sans-serif" w:hAnsi="Arial;sans-serif"/>
                <w:b w:val="false"/>
                <w:color w:val="000000"/>
                <w:sz w:val="20"/>
              </w:rPr>
              <w:t>mediarelations@bc.com</w:t>
            </w:r>
          </w:p>
        </w:tc>
      </w:tr>
      <w:tr>
        <w:trPr/>
        <w:tc>
          <w:tcPr>
            <w:tcW w:w="3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James Hardie Contact</w:t>
            </w:r>
          </w:p>
          <w:p>
            <w:pPr>
              <w:pStyle w:val="TableContents"/>
              <w:bidi w:val="0"/>
              <w:spacing w:before="0" w:after="0"/>
              <w:jc w:val="left"/>
              <w:rPr/>
            </w:pPr>
            <w:r>
              <w:rPr/>
            </w:r>
          </w:p>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Investor and Media Contact</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Bill Seymour</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Vice President, Investor Relations</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investors@jameshardie.com</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left"/>
        <w:rPr>
          <w:rFonts w:ascii="Arial;sans-serif" w:hAnsi="Arial;sans-serif"/>
          <w:b/>
          <w:color w:val="000000"/>
          <w:sz w:val="28"/>
        </w:rPr>
      </w:pPr>
      <w:r>
        <w:rPr>
          <w:rFonts w:ascii="Arial;sans-serif" w:hAnsi="Arial;sans-serif"/>
          <w:b/>
          <w:color w:val="000000"/>
          <w:sz w:val="28"/>
        </w:rPr>
        <w:t>Boise Cascade and James Hardie Expand U.S. Nationwide Distribution Partnership</w:t>
      </w:r>
    </w:p>
    <w:p>
      <w:pPr>
        <w:pStyle w:val="TextBody"/>
        <w:bidi w:val="0"/>
        <w:spacing w:lineRule="auto" w:line="288" w:before="0" w:after="0"/>
        <w:jc w:val="left"/>
        <w:rPr/>
      </w:pPr>
      <w:r>
        <w:rPr>
          <w:rFonts w:ascii="Arial;sans-serif" w:hAnsi="Arial;sans-serif"/>
          <w:b w:val="false"/>
          <w:i/>
          <w:color w:val="000000"/>
          <w:sz w:val="22"/>
        </w:rPr>
        <w:t>Boise Cascade to become the sole nationwide distributor for James Hardie’s complete portfolio of industry-leading exterior building solutions, including Hardie</w:t>
      </w:r>
      <w:r>
        <w:rPr>
          <w:rFonts w:ascii="Arial;sans-serif" w:hAnsi="Arial;sans-serif"/>
          <w:b w:val="false"/>
          <w:i/>
          <w:color w:val="000000"/>
          <w:sz w:val="14"/>
        </w:rPr>
        <w:t>®</w:t>
      </w:r>
      <w:r>
        <w:rPr>
          <w:rFonts w:ascii="Arial;sans-serif" w:hAnsi="Arial;sans-serif"/>
          <w:b w:val="false"/>
          <w:i/>
          <w:color w:val="000000"/>
          <w:sz w:val="22"/>
        </w:rPr>
        <w:t>, TimberTech</w:t>
      </w:r>
      <w:r>
        <w:rPr>
          <w:rFonts w:ascii="Arial;sans-serif" w:hAnsi="Arial;sans-serif"/>
          <w:b w:val="false"/>
          <w:i/>
          <w:color w:val="000000"/>
          <w:sz w:val="14"/>
        </w:rPr>
        <w:t>®</w:t>
      </w:r>
      <w:r>
        <w:rPr>
          <w:rFonts w:ascii="Arial;sans-serif" w:hAnsi="Arial;sans-serif"/>
          <w:b w:val="false"/>
          <w:i/>
          <w:color w:val="000000"/>
          <w:sz w:val="22"/>
        </w:rPr>
        <w:t>, and AZEK</w:t>
      </w:r>
      <w:r>
        <w:rPr>
          <w:rFonts w:ascii="Arial;sans-serif" w:hAnsi="Arial;sans-serif"/>
          <w:b w:val="false"/>
          <w:i/>
          <w:color w:val="000000"/>
          <w:sz w:val="14"/>
        </w:rPr>
        <w:t>®</w:t>
      </w:r>
      <w:r>
        <w:rPr>
          <w:color w:val="000000"/>
        </w:rPr>
        <w:t xml:space="preserve"> </w:t>
      </w:r>
      <w:r>
        <w:rPr>
          <w:rFonts w:ascii="Arial;sans-serif" w:hAnsi="Arial;sans-serif"/>
          <w:b w:val="false"/>
          <w:i/>
          <w:color w:val="000000"/>
          <w:sz w:val="22"/>
        </w:rPr>
        <w:t>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BOISE, IDAHO &amp; CHICAGO - August 3, 2026 - Boise Cascade Company (“Boise Cascade”) (NYSE: BCC) and James Hardie Building Products Inc. (“James Hardie”), a wholly-owned subsidiary of James Hardie Industries plc (“JHI”) (NYSE / ASX: JHX), today announced an expansion of their partnership under which Boise Cascade’s Building Materials Distribution division will become the sole nationwide distributor of James Hardie’s and its North American affiliates’ complete portfolio of exterior building products through its extensive network of strategically located distribution facilities across the United States, effective July 31,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Boise Cascade’s Building Materials Distribution division is one of the largest wholesale distributors of building products in North America. James Hardie is the North American leader in fiber cement siding and exterior design solutions. </w:t>
      </w:r>
    </w:p>
    <w:p>
      <w:pPr>
        <w:pStyle w:val="TextBody"/>
        <w:bidi w:val="0"/>
        <w:spacing w:before="0" w:after="0"/>
        <w:jc w:val="left"/>
        <w:rPr/>
      </w:pPr>
      <w:r>
        <w:rPr/>
      </w:r>
    </w:p>
    <w:p>
      <w:pPr>
        <w:pStyle w:val="TextBody"/>
        <w:bidi w:val="0"/>
        <w:spacing w:lineRule="auto" w:line="288"/>
        <w:jc w:val="left"/>
        <w:rPr/>
      </w:pPr>
      <w:r>
        <w:rPr>
          <w:rFonts w:ascii="Arial;sans-serif" w:hAnsi="Arial;sans-serif"/>
          <w:b w:val="false"/>
          <w:color w:val="000000"/>
          <w:sz w:val="20"/>
        </w:rPr>
        <w:t>Under the expanded agreement, Boise Cascade will distribute James Hardie’s comprehensive portfolio of products – including Hardie</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siding and trim, and now adding AZEK</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trim and moulding and TimberTech</w:t>
      </w:r>
      <w:r>
        <w:rPr>
          <w:rFonts w:ascii="Arial;sans-serif" w:hAnsi="Arial;sans-serif"/>
          <w:b w:val="false"/>
          <w:color w:val="000000"/>
          <w:sz w:val="13"/>
        </w:rPr>
        <w:t>®</w:t>
      </w:r>
      <w:r>
        <w:rPr>
          <w:color w:val="000000"/>
        </w:rPr>
        <w:t xml:space="preserve"> </w:t>
      </w:r>
      <w:r>
        <w:rPr>
          <w:rFonts w:ascii="Arial;sans-serif" w:hAnsi="Arial;sans-serif"/>
          <w:b w:val="false"/>
          <w:color w:val="000000"/>
          <w:sz w:val="20"/>
        </w:rPr>
        <w:t>decking and railing – through its nationwide network of distribution centers. As the two companies fully align their focus and resources, Boise Cascade will transition away from distributing competitive siding, trim, and exterior moulding products. James Hardie has designated Boise Cascade its sole nationwide distribution partner and will consolidate its distribution network across all regional markets.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Together, Boise Cascade and James Hardie will leverage their complementary strengths to better serve customers, provide broader access to dealers, contractors, and retailers, expand their market reach, and drive long-term growth and value creation for their respective stakeholders.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Specifically, as a result of the expanded partnership between the two companies, dealers and contractors will benefit from: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Access to James Hardie’s complete portfolio of exterior building products through a national distribution partner;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Increased product availability and fulfillment consistency across key markets;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Coordinated sales, marketing, and contractor engagement and training programs;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simpler purchasing experience supported by a trusted distribution network.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agreement is consistent with our focus on delivering the best products and service for our customers, which is at the core of every strategic decision we make at Boise Cascade,” said Jeff Strom, CEO of Boise Cascade. “Customers want trusted brands, reliable availability, and dependable service that makes their jobs easier. This expanded partnership will improve access to James Hardie’s industry-leading products through Boise Cascade’s nationwide distribution network, helping customers get what they need, when and where they need it. Our two organizations have shared values, complementary strengths, and an unwavering focus on delivering high-quality products and outstanding service. I look forward to working closely with the James Hardie team in the coming months to unlock the powerful potential of this expanded agreement.”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0"/>
        </w:rPr>
        <w:t xml:space="preserve">By bringing our full exterior building products portfolio to market through Boise Cascade’s national distribution platform, we will create an even more seamless customer experience – from product selection through end use application,” said Aaron Erter, CEO of JHI. “Boise Cascade has been an outstanding partner for many years, and we are excited to strengthen our relationship as we increase the accessibility of our innovative and resilient products. Together, with our combined distribution capabilities, strong customer relationships, and proven ability to execute, we will be positioned to deliver best-in-class service to existing and prospective customers, driving long-term growth for both companies. We look forward to working alongside the Boise Cascade team in the coming months to implement a smooth transition and continue building on our successful partnership.”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Boise Cascade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Boise Cascade is one of the largest U.S. wholesale distributors of building materials and a leading manufacturer of engineered wood products and plywood in North America. Our integrated model and national distribution footprint position us to deliver outstanding service to our customers across a broad range of industry-leading products, including key structural products that we produce. Headquartered in Boise, Idaho, we operate more than 60 distribution and manufacturing facilities strategically located across the U.S. and Canada. Our work is powered by a dedicated team of over 7,500 people. Learn more at www.bc.com.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About James Hardie Building Products Inc.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James Hardie Building Products Inc. is the North American leader in fiber cement siding and exterior design solutions and part of the larger James Hardie group of companies that offer a portfolio of leading exterior and outdoor living brands including Hardie</w:t>
      </w:r>
      <w:r>
        <w:rPr>
          <w:rFonts w:ascii="Arial;sans-serif" w:hAnsi="Arial;sans-serif"/>
          <w:b w:val="false"/>
          <w:i/>
          <w:color w:val="000000"/>
          <w:sz w:val="13"/>
        </w:rPr>
        <w:t>®</w:t>
      </w:r>
      <w:r>
        <w:rPr>
          <w:rFonts w:ascii="Arial;sans-serif" w:hAnsi="Arial;sans-serif"/>
          <w:b w:val="false"/>
          <w:color w:val="000000"/>
          <w:sz w:val="20"/>
        </w:rPr>
        <w:t>, TimberTech</w:t>
      </w:r>
      <w:r>
        <w:rPr>
          <w:rFonts w:ascii="Arial;sans-serif" w:hAnsi="Arial;sans-serif"/>
          <w:b w:val="false"/>
          <w:i/>
          <w:color w:val="000000"/>
          <w:sz w:val="13"/>
        </w:rPr>
        <w:t>®</w:t>
      </w:r>
      <w:r>
        <w:rPr>
          <w:rFonts w:ascii="Arial;sans-serif" w:hAnsi="Arial;sans-serif"/>
          <w:b w:val="false"/>
          <w:color w:val="000000"/>
          <w:sz w:val="20"/>
        </w:rPr>
        <w:t>, AZEK</w:t>
      </w:r>
      <w:r>
        <w:rPr>
          <w:rFonts w:ascii="Arial;sans-serif" w:hAnsi="Arial;sans-serif"/>
          <w:b w:val="false"/>
          <w:i/>
          <w:color w:val="000000"/>
          <w:sz w:val="13"/>
        </w:rPr>
        <w:t>®</w:t>
      </w:r>
      <w:r>
        <w:rPr>
          <w:rFonts w:ascii="Arial;sans-serif" w:hAnsi="Arial;sans-serif"/>
          <w:b w:val="false"/>
          <w:color w:val="000000"/>
          <w:sz w:val="20"/>
        </w:rPr>
        <w:t>, Versatex</w:t>
      </w:r>
      <w:r>
        <w:rPr>
          <w:rFonts w:ascii="Arial;sans-serif" w:hAnsi="Arial;sans-serif"/>
          <w:b w:val="false"/>
          <w:i/>
          <w:color w:val="000000"/>
          <w:sz w:val="13"/>
        </w:rPr>
        <w:t>®</w:t>
      </w:r>
      <w:r>
        <w:rPr>
          <w:rFonts w:ascii="Arial;sans-serif" w:hAnsi="Arial;sans-serif"/>
          <w:b w:val="false"/>
          <w:color w:val="000000"/>
          <w:sz w:val="20"/>
        </w:rPr>
        <w:t>, and StruXure</w:t>
      </w:r>
      <w:r>
        <w:rPr>
          <w:rFonts w:ascii="Arial;sans-serif" w:hAnsi="Arial;sans-serif"/>
          <w:b w:val="false"/>
          <w:i/>
          <w:color w:val="000000"/>
          <w:sz w:val="13"/>
        </w:rPr>
        <w:t>®</w:t>
      </w:r>
      <w:r>
        <w:rPr>
          <w:rFonts w:ascii="Arial;sans-serif" w:hAnsi="Arial;sans-serif"/>
          <w:b w:val="false"/>
          <w:color w:val="000000"/>
          <w:sz w:val="20"/>
        </w:rPr>
        <w:t>. As The Home of Resilient Beauty</w:t>
      </w:r>
      <w:r>
        <w:rPr>
          <w:color w:val="000000"/>
        </w:rPr>
        <w:t>™</w:t>
      </w:r>
      <w:r>
        <w:rPr>
          <w:rFonts w:ascii="Arial;sans-serif" w:hAnsi="Arial;sans-serif"/>
          <w:b w:val="false"/>
          <w:color w:val="000000"/>
          <w:sz w:val="20"/>
        </w:rPr>
        <w:t>, its products are trusted by architects, builders, contractors, and homeowners throughout North America.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Forward-Looking Statements </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 xml:space="preserve">Statements in this news release that are not purely historical facts or that necessarily depend on future events, including statements about anticipations, beliefs, expectations, intentions or strategies for the future, may be forward-looking statements within the meaning of Section 21E of the Securities Exchange Act of 1934, as amended, including statements regarding the expected impact and benefits of the expanded distribution partnership between Boise Cascade and/or James Hardie. Readers are cautioned not to place undue reliance on forward-looking statements. In addition, oral statements made by each company’s directors, officers and employees to the investor and analyst communities, media representatives and others, depending upon their nature, may also constitute forward-looking statements. As with the forward-looking statements included in this release, these forward-looking statements are by nature inherently uncertain, and actual results may differ materially as a result of many factors. All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forward-looking statements are based upon information available to Boise Cascade or James Hardie, as applicable, on the date this release was submitted. Neither Boise Cascade nor James Hardie undertakes any obligation to publicly update or revise any forward-looking statements, whether as a result of new information, future events or otherwise, except to the extent required by law. Any forward-looking statements involve risks and uncertainties that could cause actual events or results to differ materially from the events or results described in the forward-looking statements, including each company’s ability to successfully capitalize on the expanded distribution partnership, each company’s growth strategies, or such company’s revenues and operating results being highly dependent on, among other things, new residential construction, commodity wood products prices and the economy, as applicable. Either or both companies may not succeed in addressing these and other risks. Further information regarding factors that could affect financial and other results can be found in the risk factors section of Boise Cascade’s and/or JHI’s most recent annual report on Form 10-K filed with the Securities and Exchange Commission (the “SEC”) and in the other reports filed by such company with the SEC and/or the Australian Stock Exchange, as applicable. Consequently, all forward-looking statements in this release are qualified by the factors, risks and uncertainties contained therein.</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8435</Words>
  <Characters>47174</Characters>
  <CharactersWithSpaces>54415</CharactersWithSpaces>
  <Paragraphs>2331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